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17</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2404239</w:t>
      </w:r>
    </w:p>
    <w:p>
      <w:pPr>
        <w:snapToGrid w:val="0"/>
        <w:spacing w:line="240" w:lineRule="auto"/>
        <w:rPr>
          <w:rFonts w:ascii="Arial" w:hAnsi="Arial" w:eastAsia="宋体"/>
          <w:b/>
          <w:sz w:val="22"/>
        </w:rPr>
      </w:pPr>
      <w:r>
        <w:rPr>
          <w:rFonts w:hint="eastAsia" w:ascii="Arial" w:hAnsi="Arial" w:eastAsia="宋体"/>
          <w:b/>
          <w:sz w:val="22"/>
        </w:rPr>
        <w:t>Fukuoka City, Fukuoka, Japan</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May 20</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24</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24</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enhancements for UE-initiated/event-driven beam management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bookmarkStart w:id="2" w:name="_GoBack"/>
      <w:bookmarkEnd w:id="2"/>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102</w:t>
      </w:r>
      <w:r>
        <w:rPr>
          <w:rFonts w:hint="eastAsia" w:eastAsia="微软雅黑"/>
          <w:szCs w:val="20"/>
          <w:lang w:val="en-GB"/>
        </w:rPr>
        <w:t xml:space="preserve"> meeting, a new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discuss</w:t>
      </w:r>
      <w:r>
        <w:rPr>
          <w:rFonts w:hint="eastAsia" w:eastAsia="微软雅黑"/>
          <w:szCs w:val="20"/>
          <w:lang w:val="en-GB"/>
        </w:rPr>
        <w:t xml:space="preserve"> potential methods </w:t>
      </w:r>
      <w:r>
        <w:rPr>
          <w:rFonts w:hint="eastAsia" w:eastAsia="微软雅黑"/>
          <w:szCs w:val="20"/>
        </w:rPr>
        <w:t xml:space="preserve">targeting </w:t>
      </w:r>
      <w:r>
        <w:rPr>
          <w:rFonts w:eastAsia="微软雅黑"/>
          <w:szCs w:val="20"/>
        </w:rPr>
        <w:t>for</w:t>
      </w:r>
      <w:r>
        <w:rPr>
          <w:rFonts w:hint="eastAsia" w:eastAsia="微软雅黑"/>
          <w:szCs w:val="20"/>
        </w:rPr>
        <w:t xml:space="preserve"> reducing overhead and latency of the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Trigge</w:t>
      </w:r>
      <w:r>
        <w:rPr>
          <w:rFonts w:eastAsia="宋体"/>
          <w:b/>
          <w:sz w:val="28"/>
          <w:szCs w:val="28"/>
        </w:rPr>
        <w:t>r</w:t>
      </w:r>
      <w:r>
        <w:rPr>
          <w:rFonts w:hint="eastAsia" w:eastAsia="宋体"/>
          <w:b/>
          <w:sz w:val="28"/>
          <w:szCs w:val="28"/>
        </w:rPr>
        <w:t xml:space="preserve"> events </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Issues for Event-2</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In RAN1#116b meeting, the following agreements related to Event-2 for UE-initiated beam reporting were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05"/>
              <w:spacing w:before="72" w:beforeLines="30" w:after="72" w:afterLines="30" w:afterAutospacing="0"/>
              <w:ind w:firstLine="0"/>
              <w:rPr>
                <w:rFonts w:ascii="Times" w:hAnsi="Times" w:eastAsia="等线" w:cs="Times"/>
                <w:u w:val="single"/>
                <w:lang w:val="en-US" w:eastAsia="zh-CN"/>
              </w:rPr>
            </w:pPr>
            <w:r>
              <w:rPr>
                <w:rFonts w:ascii="Times" w:hAnsi="Times" w:eastAsia="等线" w:cs="Times"/>
                <w:b/>
                <w:bCs/>
                <w:u w:val="single"/>
                <w:lang w:val="en-US" w:eastAsia="zh-CN"/>
              </w:rPr>
              <w:t>Agreement</w:t>
            </w:r>
          </w:p>
          <w:p>
            <w:pPr>
              <w:overflowPunct w:val="0"/>
              <w:autoSpaceDE w:val="0"/>
              <w:autoSpaceDN w:val="0"/>
              <w:adjustRightInd w:val="0"/>
              <w:snapToGrid w:val="0"/>
              <w:spacing w:before="72" w:beforeLines="30" w:after="72" w:afterLines="30" w:line="288" w:lineRule="auto"/>
              <w:jc w:val="both"/>
              <w:textAlignment w:val="baseline"/>
              <w:rPr>
                <w:szCs w:val="20"/>
              </w:rPr>
            </w:pPr>
            <w:r>
              <w:rPr>
                <w:szCs w:val="20"/>
              </w:rPr>
              <w:t>On UE-initiated/event-driven beam reporting, regarding trigger-event detection for beam reporting, at least support Event-2: Quality of at least one new beam, such as L1-RSRP, becomes a threshold value better than the current beam.</w:t>
            </w:r>
          </w:p>
          <w:p>
            <w:pPr>
              <w:numPr>
                <w:ilvl w:val="0"/>
                <w:numId w:val="9"/>
              </w:numPr>
              <w:snapToGrid w:val="0"/>
              <w:spacing w:before="72" w:beforeLines="30" w:after="72" w:afterLines="30" w:line="288" w:lineRule="auto"/>
              <w:jc w:val="both"/>
              <w:rPr>
                <w:szCs w:val="20"/>
              </w:rPr>
            </w:pPr>
            <w:r>
              <w:rPr>
                <w:szCs w:val="20"/>
              </w:rPr>
              <w:t>At least L1-</w:t>
            </w:r>
            <w:r>
              <w:rPr>
                <w:rFonts w:hint="eastAsia"/>
                <w:szCs w:val="20"/>
              </w:rPr>
              <w:t>RSRP</w:t>
            </w:r>
            <w:r>
              <w:rPr>
                <w:szCs w:val="20"/>
              </w:rPr>
              <w:t xml:space="preserve"> is supported as quality metrics used for Event-2 </w:t>
            </w:r>
          </w:p>
          <w:p>
            <w:pPr>
              <w:numPr>
                <w:ilvl w:val="1"/>
                <w:numId w:val="9"/>
              </w:numPr>
              <w:snapToGrid w:val="0"/>
              <w:spacing w:before="72" w:beforeLines="30" w:after="72" w:afterLines="30" w:line="288" w:lineRule="auto"/>
              <w:jc w:val="both"/>
              <w:rPr>
                <w:szCs w:val="20"/>
              </w:rPr>
            </w:pPr>
            <w:r>
              <w:rPr>
                <w:szCs w:val="20"/>
              </w:rPr>
              <w:t>FFS: How the L1-RSRP is used to determine the triggering event (e.g. timer, counter, filter coefficient)</w:t>
            </w:r>
          </w:p>
          <w:p>
            <w:pPr>
              <w:numPr>
                <w:ilvl w:val="1"/>
                <w:numId w:val="9"/>
              </w:numPr>
              <w:snapToGrid w:val="0"/>
              <w:spacing w:before="72" w:beforeLines="30" w:after="72" w:afterLines="30" w:line="288" w:lineRule="auto"/>
              <w:jc w:val="both"/>
              <w:rPr>
                <w:szCs w:val="20"/>
              </w:rPr>
            </w:pPr>
            <w:r>
              <w:rPr>
                <w:szCs w:val="20"/>
              </w:rPr>
              <w:t xml:space="preserve">FFS: Whether the network controls how the L1-RSRP is used to determine the triggering event </w:t>
            </w:r>
          </w:p>
          <w:p>
            <w:pPr>
              <w:numPr>
                <w:ilvl w:val="0"/>
                <w:numId w:val="9"/>
              </w:numPr>
              <w:snapToGrid w:val="0"/>
              <w:spacing w:before="72" w:beforeLines="30" w:after="72" w:afterLines="30" w:line="288" w:lineRule="auto"/>
              <w:jc w:val="both"/>
              <w:rPr>
                <w:szCs w:val="20"/>
              </w:rPr>
            </w:pPr>
            <w:r>
              <w:rPr>
                <w:szCs w:val="20"/>
              </w:rPr>
              <w:t>Regarding RS measurement for the new beam for Event-2, down-select one or more of the following:</w:t>
            </w:r>
          </w:p>
          <w:p>
            <w:pPr>
              <w:numPr>
                <w:ilvl w:val="1"/>
                <w:numId w:val="9"/>
              </w:numPr>
              <w:snapToGrid w:val="0"/>
              <w:spacing w:before="72" w:beforeLines="30" w:after="72" w:afterLines="30" w:line="288" w:lineRule="auto"/>
              <w:jc w:val="both"/>
              <w:rPr>
                <w:szCs w:val="20"/>
              </w:rPr>
            </w:pPr>
            <w:r>
              <w:rPr>
                <w:szCs w:val="20"/>
              </w:rPr>
              <w:t xml:space="preserve">Option-3a (explicit manner): The RS(s) for new beam(s) are explicitly configured by RRC (e.g., reusing legacy configuration of RS measurement or in </w:t>
            </w:r>
            <w:r>
              <w:rPr>
                <w:i/>
                <w:szCs w:val="20"/>
              </w:rPr>
              <w:t>TCI-State</w:t>
            </w:r>
            <w:r>
              <w:rPr>
                <w:szCs w:val="20"/>
              </w:rPr>
              <w:t>) or MAC-CE</w:t>
            </w:r>
          </w:p>
          <w:p>
            <w:pPr>
              <w:numPr>
                <w:ilvl w:val="1"/>
                <w:numId w:val="9"/>
              </w:numPr>
              <w:snapToGrid w:val="0"/>
              <w:spacing w:before="72" w:beforeLines="30" w:after="72" w:afterLines="30" w:line="288" w:lineRule="auto"/>
              <w:jc w:val="both"/>
              <w:rPr>
                <w:szCs w:val="20"/>
              </w:rPr>
            </w:pPr>
            <w:r>
              <w:rPr>
                <w:szCs w:val="20"/>
              </w:rPr>
              <w:t>Option-3b (implicit manner): The RS(s) for new beam(s) are implicitly derived from QCL RS(s) of activated TCI state(s).</w:t>
            </w:r>
          </w:p>
          <w:p>
            <w:pPr>
              <w:numPr>
                <w:ilvl w:val="1"/>
                <w:numId w:val="9"/>
              </w:numPr>
              <w:snapToGrid w:val="0"/>
              <w:spacing w:before="72" w:beforeLines="30" w:after="72" w:afterLines="30" w:line="288" w:lineRule="auto"/>
              <w:jc w:val="both"/>
              <w:rPr>
                <w:szCs w:val="20"/>
              </w:rPr>
            </w:pPr>
            <w:r>
              <w:rPr>
                <w:szCs w:val="20"/>
              </w:rPr>
              <w:t>Option-3c (implicit</w:t>
            </w:r>
            <w:r>
              <w:rPr>
                <w:color w:val="FF0000"/>
                <w:szCs w:val="20"/>
              </w:rPr>
              <w:t xml:space="preserve"> </w:t>
            </w:r>
            <w:r>
              <w:rPr>
                <w:szCs w:val="20"/>
              </w:rPr>
              <w:t>manner): The RS(s) for new beam(s) are implicitly derived from QCL RS(s) of configured TCI state(s).</w:t>
            </w:r>
          </w:p>
          <w:p>
            <w:pPr>
              <w:numPr>
                <w:ilvl w:val="0"/>
                <w:numId w:val="9"/>
              </w:numPr>
              <w:snapToGrid w:val="0"/>
              <w:spacing w:before="72" w:beforeLines="30" w:after="72" w:afterLines="30" w:line="288" w:lineRule="auto"/>
              <w:jc w:val="both"/>
              <w:rPr>
                <w:szCs w:val="20"/>
              </w:rPr>
            </w:pPr>
            <w:r>
              <w:rPr>
                <w:szCs w:val="20"/>
              </w:rPr>
              <w:t xml:space="preserve">Note-1: ‘New/current beam’ is for discussion purpose. </w:t>
            </w:r>
          </w:p>
          <w:p>
            <w:pPr>
              <w:numPr>
                <w:ilvl w:val="0"/>
                <w:numId w:val="9"/>
              </w:numPr>
              <w:snapToGrid w:val="0"/>
              <w:spacing w:before="72" w:beforeLines="30" w:after="72" w:afterLines="30" w:line="288" w:lineRule="auto"/>
              <w:jc w:val="both"/>
              <w:rPr>
                <w:szCs w:val="20"/>
              </w:rPr>
            </w:pPr>
            <w:r>
              <w:rPr>
                <w:szCs w:val="20"/>
              </w:rPr>
              <w:t>Note-2: Other trigger events/quality metrics (e.g., L1-SINR) are not precluded.</w:t>
            </w:r>
          </w:p>
          <w:p>
            <w:pPr>
              <w:numPr>
                <w:ilvl w:val="0"/>
                <w:numId w:val="9"/>
              </w:numPr>
              <w:snapToGrid w:val="0"/>
              <w:spacing w:before="72" w:beforeLines="30" w:after="72" w:afterLines="30" w:line="288" w:lineRule="auto"/>
              <w:jc w:val="both"/>
              <w:rPr>
                <w:szCs w:val="20"/>
              </w:rPr>
            </w:pPr>
            <w:r>
              <w:rPr>
                <w:szCs w:val="20"/>
              </w:rPr>
              <w:t>Note-3: For above implicit manner(s), if there are two QCL RSs in a TCI state, the measurement RS is derived from RS w.r.t. QCL-TypeD, if applicable.</w:t>
            </w:r>
          </w:p>
          <w:p>
            <w:pPr>
              <w:pStyle w:val="105"/>
              <w:spacing w:before="72" w:beforeLines="30" w:after="72" w:afterLines="30" w:afterAutospacing="0"/>
              <w:ind w:firstLine="0"/>
              <w:rPr>
                <w:lang w:eastAsia="zh-CN"/>
              </w:rPr>
            </w:pPr>
            <w:r>
              <w:rPr>
                <w:rFonts w:ascii="Times" w:hAnsi="Times" w:eastAsia="等线" w:cs="Times"/>
                <w:b/>
                <w:bCs/>
                <w:u w:val="single"/>
                <w:lang w:val="en-US" w:eastAsia="zh-CN"/>
              </w:rPr>
              <w:t>Agreement</w:t>
            </w:r>
          </w:p>
          <w:p>
            <w:pPr>
              <w:snapToGrid w:val="0"/>
              <w:spacing w:before="72" w:beforeLines="30" w:after="72" w:afterLines="30" w:line="288" w:lineRule="auto"/>
              <w:jc w:val="both"/>
              <w:rPr>
                <w:color w:val="000000"/>
                <w:szCs w:val="20"/>
              </w:rPr>
            </w:pPr>
            <w:r>
              <w:rPr>
                <w:szCs w:val="20"/>
              </w:rPr>
              <w:t xml:space="preserve">On UE-initiated/event-driven beam reporting, regarding Event-2, ‘current beam’ is </w:t>
            </w:r>
            <w:r>
              <w:rPr>
                <w:color w:val="000000"/>
                <w:szCs w:val="20"/>
              </w:rPr>
              <w:t>a beam corresponding to the indicated TCI state.</w:t>
            </w:r>
          </w:p>
          <w:p>
            <w:pPr>
              <w:numPr>
                <w:ilvl w:val="0"/>
                <w:numId w:val="9"/>
              </w:numPr>
              <w:snapToGrid w:val="0"/>
              <w:spacing w:before="72" w:beforeLines="30" w:after="72" w:afterLines="30" w:line="288" w:lineRule="auto"/>
              <w:ind w:left="737" w:hanging="482"/>
              <w:jc w:val="both"/>
              <w:rPr>
                <w:szCs w:val="20"/>
              </w:rPr>
            </w:pPr>
            <w:r>
              <w:rPr>
                <w:szCs w:val="20"/>
              </w:rPr>
              <w:t>Regarding RS measurement for the current beam for Event-2, Option-2a is supported:</w:t>
            </w:r>
          </w:p>
          <w:p>
            <w:pPr>
              <w:numPr>
                <w:ilvl w:val="1"/>
                <w:numId w:val="9"/>
              </w:numPr>
              <w:snapToGrid w:val="0"/>
              <w:spacing w:before="72" w:beforeLines="30" w:after="72" w:afterLines="30" w:line="288" w:lineRule="auto"/>
              <w:ind w:left="1191" w:hanging="482"/>
              <w:jc w:val="both"/>
              <w:rPr>
                <w:szCs w:val="20"/>
              </w:rPr>
            </w:pPr>
            <w:r>
              <w:rPr>
                <w:szCs w:val="20"/>
              </w:rPr>
              <w:t>Option-2a (implicit manner): The RS for current beam is implicitly derived from a QCL RS of indicated TCI state.</w:t>
            </w:r>
          </w:p>
          <w:p>
            <w:pPr>
              <w:numPr>
                <w:ilvl w:val="2"/>
                <w:numId w:val="9"/>
              </w:numPr>
              <w:snapToGrid w:val="0"/>
              <w:spacing w:before="72" w:beforeLines="30" w:after="72" w:afterLines="30" w:line="288" w:lineRule="auto"/>
              <w:jc w:val="both"/>
              <w:rPr>
                <w:szCs w:val="20"/>
              </w:rPr>
            </w:pPr>
            <w:r>
              <w:rPr>
                <w:szCs w:val="20"/>
              </w:rPr>
              <w:t>FFS: The RS for current beam can be either the QCL RS in the indicated TCI state or the SSB which is QCLed with the QCL RS in the indicated TCI state.</w:t>
            </w:r>
          </w:p>
          <w:p>
            <w:pPr>
              <w:numPr>
                <w:ilvl w:val="1"/>
                <w:numId w:val="9"/>
              </w:numPr>
              <w:snapToGrid w:val="0"/>
              <w:spacing w:before="72" w:beforeLines="30" w:after="72" w:afterLines="30" w:line="288" w:lineRule="auto"/>
              <w:ind w:left="1191" w:hanging="482"/>
              <w:jc w:val="both"/>
              <w:rPr>
                <w:rFonts w:eastAsia="宋体"/>
                <w:szCs w:val="20"/>
              </w:rPr>
            </w:pPr>
            <w:r>
              <w:rPr>
                <w:szCs w:val="20"/>
              </w:rPr>
              <w:t>FFS: Option-2c (explicit manner): The RS for current beam is explicitly configured by RRC or MAC-CE.</w:t>
            </w:r>
          </w:p>
          <w:p>
            <w:pPr>
              <w:numPr>
                <w:ilvl w:val="2"/>
                <w:numId w:val="9"/>
              </w:numPr>
              <w:snapToGrid w:val="0"/>
              <w:spacing w:before="72" w:beforeLines="30" w:after="72" w:afterLines="30" w:line="288" w:lineRule="auto"/>
              <w:jc w:val="both"/>
              <w:rPr>
                <w:rFonts w:eastAsia="宋体"/>
                <w:szCs w:val="20"/>
              </w:rPr>
            </w:pPr>
            <w:r>
              <w:rPr>
                <w:szCs w:val="20"/>
              </w:rPr>
              <w:t>Note: SSB or CSI-RS can be configured</w:t>
            </w:r>
          </w:p>
        </w:tc>
      </w:tr>
    </w:tbl>
    <w:p>
      <w:pPr>
        <w:pStyle w:val="99"/>
        <w:snapToGrid w:val="0"/>
        <w:spacing w:before="60" w:beforeLines="25" w:after="60" w:afterLines="25" w:line="300" w:lineRule="auto"/>
        <w:ind w:firstLine="0" w:firstLineChars="0"/>
        <w:jc w:val="both"/>
        <w:rPr>
          <w:rFonts w:eastAsia="宋体"/>
          <w:szCs w:val="20"/>
        </w:rPr>
      </w:pPr>
      <w:r>
        <w:rPr>
          <w:rFonts w:hint="eastAsia" w:eastAsia="宋体"/>
          <w:b/>
          <w:bCs/>
          <w:szCs w:val="20"/>
          <w:u w:val="single"/>
        </w:rPr>
        <w:t>Beam report triggering</w:t>
      </w:r>
    </w:p>
    <w:p>
      <w:pPr>
        <w:widowControl w:val="0"/>
        <w:spacing w:before="72" w:beforeLines="30" w:after="72" w:afterLines="30" w:line="288" w:lineRule="auto"/>
        <w:jc w:val="both"/>
        <w:rPr>
          <w:rFonts w:eastAsia="宋体"/>
          <w:szCs w:val="20"/>
        </w:rPr>
      </w:pPr>
      <w:r>
        <w:rPr>
          <w:rFonts w:hint="eastAsia" w:eastAsia="宋体"/>
          <w:szCs w:val="20"/>
        </w:rPr>
        <w:t xml:space="preserve">For the sake of robustness, event triggered measurement reporting in Layer 3 is triggered when the trigger event is fulfilled based on the L3-filtered measurement results within a </w:t>
      </w:r>
      <w:r>
        <w:rPr>
          <w:rFonts w:hint="eastAsia" w:eastAsia="宋体"/>
          <w:i/>
          <w:iCs/>
          <w:szCs w:val="20"/>
        </w:rPr>
        <w:t>TimeToTrigger</w:t>
      </w:r>
      <w:r>
        <w:rPr>
          <w:rFonts w:hint="eastAsia" w:eastAsia="宋体"/>
          <w:szCs w:val="20"/>
        </w:rPr>
        <w:t xml:space="preserve"> duration, and a beam failure recovery procedure is triggered when the beam failure instance indication from lower layers has been counted to the maximum value.  </w:t>
      </w:r>
    </w:p>
    <w:p>
      <w:pPr>
        <w:widowControl w:val="0"/>
        <w:spacing w:before="72" w:beforeLines="30" w:after="72" w:afterLines="30" w:line="288" w:lineRule="auto"/>
        <w:jc w:val="both"/>
        <w:rPr>
          <w:rFonts w:eastAsia="宋体"/>
          <w:szCs w:val="20"/>
        </w:rPr>
      </w:pPr>
      <w:r>
        <w:rPr>
          <w:rFonts w:hint="eastAsia" w:eastAsia="宋体"/>
          <w:szCs w:val="20"/>
        </w:rPr>
        <w:t xml:space="preserve">Similarly, it is preferred to support counter based beam report triggering mechanism, and whether the beam report instance indication for each counting is filtered or not by Layer 1 can be up to UE implementation. </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i/>
          <w:szCs w:val="20"/>
        </w:rPr>
        <w:t>For UE-initiated/event-driven beam reporting procedure, support to specify that UE-initiated beam report triggering is based on a counter</w:t>
      </w:r>
      <w:r>
        <w:rPr>
          <w:rFonts w:eastAsia="宋体"/>
          <w:i/>
          <w:szCs w:val="20"/>
        </w:rPr>
        <w:t xml:space="preserve"> with a timer</w:t>
      </w:r>
      <w:r>
        <w:rPr>
          <w:rFonts w:hint="eastAsia" w:eastAsia="宋体"/>
          <w:i/>
          <w:szCs w:val="20"/>
        </w:rPr>
        <w:t xml:space="preserve"> as legacy BFR.</w:t>
      </w:r>
    </w:p>
    <w:p>
      <w:pPr>
        <w:numPr>
          <w:ilvl w:val="0"/>
          <w:numId w:val="10"/>
        </w:numPr>
        <w:snapToGrid w:val="0"/>
        <w:spacing w:before="72" w:beforeLines="30" w:after="72" w:afterLines="30" w:line="288" w:lineRule="auto"/>
        <w:jc w:val="both"/>
        <w:rPr>
          <w:rFonts w:eastAsia="宋体"/>
          <w:i/>
          <w:iCs/>
        </w:rPr>
      </w:pPr>
      <w:r>
        <w:rPr>
          <w:rFonts w:hint="eastAsia" w:eastAsia="宋体"/>
          <w:i/>
          <w:iCs/>
        </w:rPr>
        <w:t>Note: Up to UE implementation to use L1-filtered RSRP value or non-filtered RSRP value for trigger event evaluation.</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RS measurement of new beams</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w:t>
      </w:r>
      <w:r>
        <w:rPr>
          <w:rFonts w:eastAsia="宋体"/>
          <w:szCs w:val="20"/>
        </w:rPr>
        <w:t xml:space="preserve">n legacy, </w:t>
      </w:r>
      <w:r>
        <w:rPr>
          <w:rFonts w:hint="eastAsia" w:eastAsia="宋体"/>
          <w:szCs w:val="20"/>
        </w:rPr>
        <w:t>reference signals for measurement are explicitly configured</w:t>
      </w:r>
      <w:r>
        <w:rPr>
          <w:rFonts w:eastAsia="宋体"/>
          <w:szCs w:val="20"/>
        </w:rPr>
        <w:t xml:space="preserve"> </w:t>
      </w:r>
      <w:r>
        <w:rPr>
          <w:rFonts w:hint="eastAsia" w:eastAsia="宋体"/>
          <w:szCs w:val="20"/>
        </w:rPr>
        <w:t xml:space="preserve">for </w:t>
      </w:r>
      <w:r>
        <w:rPr>
          <w:rFonts w:eastAsia="宋体"/>
          <w:szCs w:val="20"/>
        </w:rPr>
        <w:t xml:space="preserve">either </w:t>
      </w:r>
      <w:r>
        <w:rPr>
          <w:rFonts w:hint="eastAsia" w:eastAsia="宋体"/>
          <w:szCs w:val="20"/>
        </w:rPr>
        <w:t>measurement report in L3 or CSI report. Hence, Option-3a, i.e., the RS(s) for new beam(s) are explicitly configured by RRC, is preferred.</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In addition, as analyzed in section 3, in order to leverage legacy CSI report, DL RS ID of new beams should be designed based on CRI or SSBRI, where the field is determined based on the configured measurement RS set. If the new beams are implicitly derived, additional specification impacts are </w:t>
      </w:r>
      <w:r>
        <w:rPr>
          <w:rFonts w:eastAsia="宋体"/>
          <w:szCs w:val="20"/>
        </w:rPr>
        <w:t>needed</w:t>
      </w:r>
      <w:r>
        <w:rPr>
          <w:rFonts w:hint="eastAsia" w:eastAsia="宋体"/>
          <w:szCs w:val="20"/>
        </w:rPr>
        <w:t xml:space="preserve"> to specify the DL RS ID. </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As for the concern that new beams should be associated with the configured TCI states, </w:t>
      </w:r>
      <w:r>
        <w:rPr>
          <w:rFonts w:eastAsia="宋体"/>
          <w:szCs w:val="20"/>
        </w:rPr>
        <w:t xml:space="preserve">it seems sufficient to restrict </w:t>
      </w:r>
      <w:r>
        <w:rPr>
          <w:rFonts w:hint="eastAsia" w:eastAsia="宋体"/>
          <w:szCs w:val="20"/>
        </w:rPr>
        <w:t>that the measurement RSs configured for the new beams are expected to be associated with the configured TCI states.</w:t>
      </w:r>
    </w:p>
    <w:p>
      <w:pPr>
        <w:pStyle w:val="111"/>
        <w:widowControl w:val="0"/>
        <w:spacing w:before="72" w:beforeLines="30" w:after="72" w:afterLines="30" w:line="288" w:lineRule="auto"/>
        <w:ind w:firstLine="0" w:firstLineChars="0"/>
        <w:jc w:val="both"/>
        <w:rPr>
          <w:i/>
        </w:rPr>
      </w:pPr>
      <w:r>
        <w:rPr>
          <w:rFonts w:hint="eastAsia" w:eastAsia="宋体"/>
          <w:b/>
          <w:i/>
          <w:szCs w:val="21"/>
        </w:rPr>
        <w:t>Proposal</w:t>
      </w:r>
      <w:r>
        <w:rPr>
          <w:b/>
          <w:i/>
          <w:szCs w:val="21"/>
        </w:rPr>
        <w:t xml:space="preserve"> </w:t>
      </w:r>
      <w:r>
        <w:rPr>
          <w:rFonts w:hint="eastAsia" w:eastAsia="宋体"/>
          <w:b/>
          <w:i/>
          <w:szCs w:val="21"/>
        </w:rPr>
        <w:t>2</w:t>
      </w:r>
      <w:r>
        <w:rPr>
          <w:b/>
          <w:i/>
          <w:szCs w:val="21"/>
        </w:rPr>
        <w:t>:</w:t>
      </w:r>
      <w:r>
        <w:rPr>
          <w:bCs/>
          <w:i/>
          <w:szCs w:val="21"/>
        </w:rPr>
        <w:t xml:space="preserve"> </w:t>
      </w:r>
      <w:r>
        <w:rPr>
          <w:rFonts w:hint="eastAsia" w:eastAsia="宋体"/>
          <w:i/>
          <w:szCs w:val="20"/>
        </w:rPr>
        <w:t>Regarding Event-2 for UE-initiated beam report, support that measurement reference signals for t</w:t>
      </w:r>
      <w:r>
        <w:rPr>
          <w:rFonts w:hint="eastAsia"/>
          <w:i/>
        </w:rPr>
        <w:t xml:space="preserve">he new beams are explicitly configured </w:t>
      </w:r>
      <w:r>
        <w:rPr>
          <w:rFonts w:hint="eastAsia" w:eastAsia="宋体"/>
          <w:i/>
        </w:rPr>
        <w:t>by RRC as legacy CSI report configuration</w:t>
      </w:r>
      <w:r>
        <w:rPr>
          <w:rFonts w:hint="eastAsia"/>
          <w:i/>
        </w:rPr>
        <w:t>.</w:t>
      </w:r>
    </w:p>
    <w:p>
      <w:pPr>
        <w:numPr>
          <w:ilvl w:val="0"/>
          <w:numId w:val="10"/>
        </w:numPr>
        <w:snapToGrid w:val="0"/>
        <w:spacing w:before="72" w:beforeLines="30" w:after="72" w:afterLines="30" w:line="288" w:lineRule="auto"/>
        <w:jc w:val="both"/>
        <w:rPr>
          <w:rFonts w:eastAsia="宋体"/>
          <w:i/>
          <w:iCs/>
        </w:rPr>
      </w:pPr>
      <w:r>
        <w:rPr>
          <w:rFonts w:hint="eastAsia" w:eastAsia="宋体"/>
          <w:i/>
          <w:iCs/>
        </w:rPr>
        <w:t>Note: The configured reference signal resources are expected to associate with the configured TCI states.</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RS measurement for the current beam</w:t>
      </w:r>
    </w:p>
    <w:p>
      <w:pPr>
        <w:widowControl w:val="0"/>
        <w:spacing w:before="72" w:beforeLines="30" w:after="72" w:afterLines="30" w:line="288" w:lineRule="auto"/>
        <w:jc w:val="both"/>
        <w:rPr>
          <w:szCs w:val="20"/>
        </w:rPr>
      </w:pPr>
      <w:r>
        <w:rPr>
          <w:rFonts w:hint="eastAsia" w:eastAsia="宋体"/>
          <w:szCs w:val="20"/>
        </w:rPr>
        <w:t xml:space="preserve">Considering beam width or bandwidth of an SSB and an CSI-RS is </w:t>
      </w:r>
      <w:r>
        <w:rPr>
          <w:rFonts w:eastAsia="宋体"/>
          <w:szCs w:val="20"/>
        </w:rPr>
        <w:t xml:space="preserve">typically </w:t>
      </w:r>
      <w:r>
        <w:rPr>
          <w:rFonts w:hint="eastAsia" w:eastAsia="宋体"/>
          <w:szCs w:val="20"/>
        </w:rPr>
        <w:t>different, the same type of DL RS for new beams and current beam for trigger event evaluation should be ensured to avoid introducing unexpected bias. Accordingly, when measurement RSs for the new beams are explicitly configured by RRC, whether t</w:t>
      </w:r>
      <w:r>
        <w:rPr>
          <w:szCs w:val="20"/>
        </w:rPr>
        <w:t>he RS for current beam can be the QCL RS in the indicated TCI state or the SSB which is QCLed with the QCL RS in the indicated TCI state</w:t>
      </w:r>
      <w:r>
        <w:rPr>
          <w:rFonts w:hint="eastAsia"/>
          <w:szCs w:val="20"/>
        </w:rPr>
        <w:t xml:space="preserve"> can be based on whether CSI-RSs or SSBs are configured for the new beams.</w:t>
      </w:r>
    </w:p>
    <w:p>
      <w:pPr>
        <w:widowControl w:val="0"/>
        <w:spacing w:before="72" w:beforeLines="30" w:after="72" w:afterLines="30" w:line="288" w:lineRule="auto"/>
        <w:jc w:val="both"/>
        <w:rPr>
          <w:szCs w:val="20"/>
        </w:rPr>
      </w:pPr>
      <w:r>
        <w:rPr>
          <w:rFonts w:hint="eastAsia"/>
          <w:szCs w:val="20"/>
        </w:rPr>
        <w:t xml:space="preserve">Due to it has been agreed that </w:t>
      </w:r>
      <w:r>
        <w:rPr>
          <w:szCs w:val="20"/>
        </w:rPr>
        <w:t>‘</w:t>
      </w:r>
      <w:r>
        <w:rPr>
          <w:rFonts w:hint="eastAsia"/>
          <w:szCs w:val="20"/>
        </w:rPr>
        <w:t>current beam</w:t>
      </w:r>
      <w:r>
        <w:rPr>
          <w:szCs w:val="20"/>
        </w:rPr>
        <w:t>’</w:t>
      </w:r>
      <w:r>
        <w:rPr>
          <w:rFonts w:hint="eastAsia"/>
          <w:szCs w:val="20"/>
        </w:rPr>
        <w:t xml:space="preserve"> is a beam corresponding to the indicated TCI state, it is unclear how to configure the measurement RS for the indicated TCI state. Meanwhile, it should be noted that if the indicated TCI state is updated, reconfiguration of the measurement RS for the current beam is needed in Option-2c. Therefore, Option-2c should be </w:t>
      </w:r>
      <w:r>
        <w:rPr>
          <w:szCs w:val="20"/>
        </w:rPr>
        <w:t>deprioritized</w:t>
      </w:r>
      <w:r>
        <w:rPr>
          <w:rFonts w:hint="eastAsia"/>
          <w:szCs w:val="20"/>
        </w:rPr>
        <w:t xml:space="preserve">. </w:t>
      </w:r>
    </w:p>
    <w:p>
      <w:pPr>
        <w:pStyle w:val="111"/>
        <w:widowControl w:val="0"/>
        <w:spacing w:before="72" w:beforeLines="30" w:after="72" w:afterLines="30" w:line="288" w:lineRule="auto"/>
        <w:ind w:firstLine="0" w:firstLineChars="0"/>
        <w:jc w:val="both"/>
        <w:rPr>
          <w:i/>
        </w:rPr>
      </w:pPr>
      <w:r>
        <w:rPr>
          <w:rFonts w:hint="eastAsia"/>
          <w:b/>
          <w:bCs/>
          <w:i/>
          <w:iCs/>
          <w:szCs w:val="20"/>
        </w:rPr>
        <w:t xml:space="preserve">Proposal 3: </w:t>
      </w:r>
      <w:r>
        <w:rPr>
          <w:rFonts w:hint="eastAsia" w:eastAsia="宋体"/>
          <w:i/>
          <w:szCs w:val="20"/>
        </w:rPr>
        <w:t>Regarding Event-2 for UE-initiated beam report, s</w:t>
      </w:r>
      <w:r>
        <w:rPr>
          <w:rFonts w:hint="eastAsia"/>
          <w:i/>
          <w:iCs/>
          <w:szCs w:val="20"/>
        </w:rPr>
        <w:t xml:space="preserve">upport that </w:t>
      </w:r>
      <w:r>
        <w:rPr>
          <w:rFonts w:hint="eastAsia" w:eastAsia="宋体"/>
          <w:i/>
          <w:szCs w:val="20"/>
        </w:rPr>
        <w:t>measurement reference signal for t</w:t>
      </w:r>
      <w:r>
        <w:rPr>
          <w:rFonts w:hint="eastAsia"/>
          <w:i/>
        </w:rPr>
        <w:t xml:space="preserve">he </w:t>
      </w:r>
      <w:r>
        <w:rPr>
          <w:rFonts w:hint="eastAsia" w:eastAsia="宋体"/>
          <w:i/>
        </w:rPr>
        <w:t xml:space="preserve">current </w:t>
      </w:r>
      <w:r>
        <w:rPr>
          <w:rFonts w:hint="eastAsia"/>
          <w:i/>
        </w:rPr>
        <w:t xml:space="preserve">beam </w:t>
      </w:r>
      <w:r>
        <w:rPr>
          <w:rFonts w:hint="eastAsia" w:eastAsia="宋体"/>
          <w:i/>
        </w:rPr>
        <w:t xml:space="preserve">derived implicitly (i.e., Option-2a) has a same type of measurement reference signals for the new beams </w:t>
      </w:r>
      <w:r>
        <w:rPr>
          <w:rFonts w:hint="eastAsia"/>
          <w:i/>
        </w:rPr>
        <w:t xml:space="preserve">configured </w:t>
      </w:r>
      <w:r>
        <w:rPr>
          <w:rFonts w:hint="eastAsia" w:eastAsia="宋体"/>
          <w:i/>
        </w:rPr>
        <w:t>by RRC.</w:t>
      </w:r>
      <w:r>
        <w:rPr>
          <w:rFonts w:hint="eastAsia" w:eastAsia="宋体"/>
          <w:i/>
          <w:szCs w:val="20"/>
        </w:rPr>
        <w:t xml:space="preserve"> </w:t>
      </w:r>
    </w:p>
    <w:p>
      <w:pPr>
        <w:numPr>
          <w:ilvl w:val="1"/>
          <w:numId w:val="7"/>
        </w:numPr>
        <w:tabs>
          <w:tab w:val="clear" w:pos="576"/>
        </w:tabs>
        <w:snapToGrid w:val="0"/>
        <w:spacing w:before="240" w:beforeLines="100" w:after="120" w:afterLines="50" w:line="288" w:lineRule="auto"/>
        <w:jc w:val="both"/>
        <w:outlineLvl w:val="1"/>
        <w:rPr>
          <w:rFonts w:eastAsia="宋体"/>
          <w:szCs w:val="20"/>
        </w:rPr>
      </w:pPr>
      <w:r>
        <w:rPr>
          <w:rFonts w:hint="eastAsia" w:eastAsia="宋体"/>
          <w:b/>
          <w:bCs/>
          <w:sz w:val="24"/>
          <w:szCs w:val="24"/>
        </w:rPr>
        <w:t>Other trigger events</w:t>
      </w:r>
      <w:r>
        <w:rPr>
          <w:rFonts w:hint="eastAsia" w:eastAsia="宋体"/>
          <w:szCs w:val="20"/>
        </w:rPr>
        <w:t xml:space="preserve">  </w:t>
      </w:r>
    </w:p>
    <w:p>
      <w:pPr>
        <w:pStyle w:val="99"/>
        <w:snapToGrid w:val="0"/>
        <w:spacing w:before="60" w:beforeLines="25" w:after="60" w:afterLines="25" w:line="300" w:lineRule="auto"/>
        <w:ind w:firstLine="0" w:firstLineChars="0"/>
        <w:jc w:val="both"/>
        <w:rPr>
          <w:rFonts w:eastAsia="宋体"/>
          <w:bCs/>
          <w:iCs/>
          <w:szCs w:val="21"/>
        </w:rPr>
      </w:pPr>
      <w:r>
        <w:rPr>
          <w:rFonts w:hint="eastAsia" w:eastAsia="宋体"/>
          <w:szCs w:val="20"/>
        </w:rPr>
        <w:t xml:space="preserve">In RAN1#116b meeting, the following agreement related to definitions of trigger events </w:t>
      </w:r>
      <w:r>
        <w:rPr>
          <w:rFonts w:eastAsia="宋体"/>
          <w:szCs w:val="20"/>
        </w:rPr>
        <w:t>besides</w:t>
      </w:r>
      <w:r>
        <w:rPr>
          <w:rFonts w:hint="eastAsia" w:eastAsia="宋体"/>
          <w:szCs w:val="20"/>
        </w:rPr>
        <w:t xml:space="preserve"> Event-2 was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05"/>
              <w:spacing w:before="72" w:beforeLines="30" w:after="72" w:afterLines="30" w:afterAutospacing="0"/>
              <w:ind w:firstLine="0"/>
              <w:rPr>
                <w:lang w:eastAsia="zh-CN"/>
              </w:rPr>
            </w:pPr>
            <w:r>
              <w:rPr>
                <w:rFonts w:ascii="Times" w:hAnsi="Times" w:eastAsia="等线" w:cs="Times"/>
                <w:b/>
                <w:bCs/>
                <w:u w:val="single"/>
                <w:lang w:val="en-US" w:eastAsia="zh-CN"/>
              </w:rPr>
              <w:t>Agreement</w:t>
            </w:r>
          </w:p>
          <w:p>
            <w:pPr>
              <w:snapToGrid w:val="0"/>
              <w:spacing w:before="72" w:beforeLines="30" w:after="72" w:afterLines="30" w:line="288" w:lineRule="auto"/>
              <w:jc w:val="both"/>
              <w:rPr>
                <w:rFonts w:cs="Times"/>
                <w:color w:val="000000"/>
                <w:szCs w:val="20"/>
              </w:rPr>
            </w:pPr>
            <w:r>
              <w:rPr>
                <w:szCs w:val="20"/>
              </w:rPr>
              <w:t>On UE-initiated/event-driven beam reporting, f</w:t>
            </w:r>
            <w:r>
              <w:rPr>
                <w:color w:val="000000"/>
                <w:szCs w:val="20"/>
              </w:rPr>
              <w:t>urther study the following trigger events:</w:t>
            </w:r>
            <w:r>
              <w:rPr>
                <w:rFonts w:cs="Times"/>
                <w:color w:val="000000"/>
                <w:szCs w:val="20"/>
              </w:rPr>
              <w:t xml:space="preserve"> </w:t>
            </w:r>
          </w:p>
          <w:p>
            <w:pPr>
              <w:numPr>
                <w:ilvl w:val="0"/>
                <w:numId w:val="11"/>
              </w:numPr>
              <w:snapToGrid w:val="0"/>
              <w:spacing w:before="72" w:beforeLines="30" w:after="72" w:afterLines="30" w:line="288" w:lineRule="auto"/>
              <w:ind w:left="466" w:hanging="284"/>
              <w:jc w:val="both"/>
              <w:rPr>
                <w:szCs w:val="20"/>
              </w:rPr>
            </w:pPr>
            <w:r>
              <w:rPr>
                <w:szCs w:val="20"/>
              </w:rPr>
              <w:t>Event-1: Quality of the current beam is worse than a certain threshold.</w:t>
            </w:r>
          </w:p>
          <w:p>
            <w:pPr>
              <w:numPr>
                <w:ilvl w:val="0"/>
                <w:numId w:val="11"/>
              </w:numPr>
              <w:snapToGrid w:val="0"/>
              <w:spacing w:before="72" w:beforeLines="30" w:after="72" w:afterLines="30" w:line="288" w:lineRule="auto"/>
              <w:ind w:left="466" w:hanging="284"/>
              <w:jc w:val="both"/>
              <w:rPr>
                <w:szCs w:val="20"/>
              </w:rPr>
            </w:pPr>
            <w:r>
              <w:rPr>
                <w:szCs w:val="20"/>
              </w:rPr>
              <w:t xml:space="preserve">Event-3: Quality of a new beam is better than a certain threshold. </w:t>
            </w:r>
          </w:p>
          <w:p>
            <w:pPr>
              <w:numPr>
                <w:ilvl w:val="0"/>
                <w:numId w:val="11"/>
              </w:numPr>
              <w:snapToGrid w:val="0"/>
              <w:spacing w:before="72" w:beforeLines="30" w:after="72" w:afterLines="30" w:line="288" w:lineRule="auto"/>
              <w:ind w:left="466" w:hanging="284"/>
              <w:jc w:val="both"/>
              <w:rPr>
                <w:szCs w:val="20"/>
              </w:rPr>
            </w:pPr>
            <w:r>
              <w:rPr>
                <w:szCs w:val="20"/>
              </w:rPr>
              <w:t>Event-4: Quality of the current beam is worse than a threshold 1, and quality of at least one new beam is better than a threshold 2.</w:t>
            </w:r>
          </w:p>
          <w:p>
            <w:pPr>
              <w:numPr>
                <w:ilvl w:val="0"/>
                <w:numId w:val="11"/>
              </w:numPr>
              <w:snapToGrid w:val="0"/>
              <w:spacing w:before="72" w:beforeLines="30" w:after="72" w:afterLines="30" w:line="288" w:lineRule="auto"/>
              <w:ind w:left="466" w:hanging="284"/>
              <w:jc w:val="both"/>
              <w:rPr>
                <w:szCs w:val="20"/>
              </w:rPr>
            </w:pPr>
            <w:r>
              <w:rPr>
                <w:szCs w:val="20"/>
              </w:rPr>
              <w:t>Event-5: Absolute value of the difference between the quality of the current beam and the quality of at least one new beam is lower than a threshold.</w:t>
            </w:r>
          </w:p>
          <w:p>
            <w:pPr>
              <w:numPr>
                <w:ilvl w:val="0"/>
                <w:numId w:val="11"/>
              </w:numPr>
              <w:snapToGrid w:val="0"/>
              <w:spacing w:before="72" w:beforeLines="30" w:after="72" w:afterLines="30" w:line="288" w:lineRule="auto"/>
              <w:ind w:left="466" w:hanging="284"/>
              <w:jc w:val="both"/>
              <w:rPr>
                <w:szCs w:val="20"/>
              </w:rPr>
            </w:pPr>
            <w:r>
              <w:rPr>
                <w:szCs w:val="20"/>
              </w:rPr>
              <w:t>Event-6: When the current beam is not in the best K&gt;1 beams (out of configured beams for measurement and reporting).</w:t>
            </w:r>
          </w:p>
          <w:p>
            <w:pPr>
              <w:numPr>
                <w:ilvl w:val="0"/>
                <w:numId w:val="11"/>
              </w:numPr>
              <w:snapToGrid w:val="0"/>
              <w:spacing w:before="72" w:beforeLines="30" w:after="72" w:afterLines="30" w:line="288" w:lineRule="auto"/>
              <w:ind w:left="466" w:hanging="284"/>
              <w:jc w:val="both"/>
              <w:rPr>
                <w:rFonts w:cs="Times"/>
                <w:szCs w:val="20"/>
              </w:rPr>
            </w:pPr>
            <w:r>
              <w:rPr>
                <w:rFonts w:eastAsia="PMingLiU"/>
                <w:szCs w:val="20"/>
                <w:lang w:eastAsia="zh-TW"/>
              </w:rPr>
              <w:t>Event-7a</w:t>
            </w:r>
            <w:r>
              <w:rPr>
                <w:szCs w:val="20"/>
                <w:lang w:eastAsia="zh-TW"/>
              </w:rPr>
              <w:t xml:space="preserve">: </w:t>
            </w:r>
            <w:r>
              <w:rPr>
                <w:szCs w:val="20"/>
              </w:rPr>
              <w:t>Quality of at least one new beam, such as L1-RSRP, becomes a threshold value better than the RS</w:t>
            </w:r>
            <w:r>
              <w:rPr>
                <w:rFonts w:hint="eastAsia" w:ascii="PMingLiU" w:hAnsi="PMingLiU" w:eastAsia="PMingLiU"/>
                <w:szCs w:val="20"/>
                <w:lang w:eastAsia="zh-TW"/>
              </w:rPr>
              <w:t xml:space="preserve"> </w:t>
            </w:r>
            <w:r>
              <w:rPr>
                <w:rFonts w:eastAsia="PMingLiU"/>
                <w:szCs w:val="20"/>
                <w:lang w:eastAsia="zh-TW"/>
              </w:rPr>
              <w:t>de</w:t>
            </w:r>
            <w:r>
              <w:rPr>
                <w:szCs w:val="20"/>
              </w:rPr>
              <w:t xml:space="preserve">rived from the activated TCI state with the </w:t>
            </w:r>
            <w:r>
              <w:rPr>
                <w:b/>
                <w:szCs w:val="20"/>
              </w:rPr>
              <w:t>worst</w:t>
            </w:r>
            <w:r>
              <w:rPr>
                <w:szCs w:val="20"/>
              </w:rPr>
              <w:t xml:space="preserve"> quality.</w:t>
            </w:r>
          </w:p>
          <w:p>
            <w:pPr>
              <w:numPr>
                <w:ilvl w:val="0"/>
                <w:numId w:val="11"/>
              </w:numPr>
              <w:snapToGrid w:val="0"/>
              <w:spacing w:before="72" w:beforeLines="30" w:after="72" w:afterLines="30" w:line="288" w:lineRule="auto"/>
              <w:ind w:left="466" w:hanging="284"/>
              <w:jc w:val="both"/>
              <w:rPr>
                <w:rFonts w:cs="Times"/>
                <w:szCs w:val="20"/>
              </w:rPr>
            </w:pPr>
            <w:r>
              <w:rPr>
                <w:rFonts w:eastAsia="PMingLiU"/>
                <w:szCs w:val="20"/>
                <w:lang w:eastAsia="zh-TW"/>
              </w:rPr>
              <w:t>Event-7b</w:t>
            </w:r>
            <w:r>
              <w:rPr>
                <w:szCs w:val="20"/>
                <w:lang w:eastAsia="zh-TW"/>
              </w:rPr>
              <w:t xml:space="preserve">: </w:t>
            </w:r>
            <w:r>
              <w:rPr>
                <w:szCs w:val="20"/>
              </w:rPr>
              <w:t>Quality of at least one new beam, such as L1-RSRP, becomes a threshold value better than the RS</w:t>
            </w:r>
            <w:r>
              <w:rPr>
                <w:rFonts w:hint="eastAsia" w:ascii="PMingLiU" w:hAnsi="PMingLiU" w:eastAsia="PMingLiU"/>
                <w:szCs w:val="20"/>
                <w:lang w:eastAsia="zh-TW"/>
              </w:rPr>
              <w:t xml:space="preserve"> </w:t>
            </w:r>
            <w:r>
              <w:rPr>
                <w:rFonts w:eastAsia="PMingLiU"/>
                <w:szCs w:val="20"/>
                <w:lang w:eastAsia="zh-TW"/>
              </w:rPr>
              <w:t>de</w:t>
            </w:r>
            <w:r>
              <w:rPr>
                <w:szCs w:val="20"/>
              </w:rPr>
              <w:t xml:space="preserve">rived from the activated TCI state with the </w:t>
            </w:r>
            <w:r>
              <w:rPr>
                <w:b/>
                <w:szCs w:val="20"/>
              </w:rPr>
              <w:t>best</w:t>
            </w:r>
            <w:r>
              <w:rPr>
                <w:szCs w:val="20"/>
              </w:rPr>
              <w:t xml:space="preserve"> quality.</w:t>
            </w:r>
          </w:p>
          <w:p>
            <w:pPr>
              <w:numPr>
                <w:ilvl w:val="0"/>
                <w:numId w:val="11"/>
              </w:numPr>
              <w:snapToGrid w:val="0"/>
              <w:spacing w:before="72" w:beforeLines="30" w:after="72" w:afterLines="30" w:line="288" w:lineRule="auto"/>
              <w:ind w:left="466" w:hanging="284"/>
              <w:jc w:val="both"/>
              <w:rPr>
                <w:rFonts w:cs="Times"/>
                <w:szCs w:val="20"/>
              </w:rPr>
            </w:pPr>
            <w:r>
              <w:rPr>
                <w:rFonts w:cs="Times"/>
                <w:szCs w:val="20"/>
              </w:rPr>
              <w:t>Event-8: Quality of M&gt;1 new beam</w:t>
            </w:r>
            <w:r>
              <w:rPr>
                <w:rFonts w:hint="eastAsia" w:cs="Times"/>
                <w:szCs w:val="20"/>
              </w:rPr>
              <w:t>s</w:t>
            </w:r>
            <w:r>
              <w:rPr>
                <w:rFonts w:cs="Times"/>
                <w:szCs w:val="20"/>
              </w:rPr>
              <w:t>, such as L1-RSRP, become a threshold value better than the current beam.</w:t>
            </w:r>
          </w:p>
          <w:p>
            <w:pPr>
              <w:numPr>
                <w:ilvl w:val="0"/>
                <w:numId w:val="11"/>
              </w:numPr>
              <w:snapToGrid w:val="0"/>
              <w:spacing w:before="72" w:beforeLines="30" w:after="72" w:afterLines="30" w:line="288" w:lineRule="auto"/>
              <w:ind w:left="466" w:hanging="284"/>
              <w:jc w:val="both"/>
              <w:rPr>
                <w:rFonts w:eastAsia="宋体"/>
                <w:szCs w:val="20"/>
              </w:rPr>
            </w:pPr>
            <w:r>
              <w:rPr>
                <w:rFonts w:cs="Times"/>
                <w:szCs w:val="20"/>
              </w:rPr>
              <w:t xml:space="preserve">Event-9: </w:t>
            </w:r>
            <w:r>
              <w:rPr>
                <w:szCs w:val="20"/>
              </w:rPr>
              <w:t>Quality of at least one new beam, such as L1-RSRP, becomes a threshold value better than the configured reference RS (can be SSB or CSI-RS).</w:t>
            </w:r>
          </w:p>
        </w:tc>
      </w:tr>
    </w:tbl>
    <w:p>
      <w:pPr>
        <w:pStyle w:val="111"/>
        <w:widowControl w:val="0"/>
        <w:spacing w:before="72" w:beforeLines="30" w:after="72" w:afterLines="30" w:line="288" w:lineRule="auto"/>
        <w:ind w:firstLine="0" w:firstLineChars="0"/>
        <w:jc w:val="both"/>
        <w:rPr>
          <w:rFonts w:eastAsia="宋体"/>
          <w:bCs/>
          <w:iCs/>
          <w:szCs w:val="21"/>
        </w:rPr>
      </w:pPr>
      <w:r>
        <w:rPr>
          <w:rFonts w:eastAsia="宋体"/>
          <w:bCs/>
          <w:iCs/>
          <w:szCs w:val="21"/>
        </w:rPr>
        <w:t>Taking both</w:t>
      </w:r>
      <w:r>
        <w:rPr>
          <w:rFonts w:hint="eastAsia" w:eastAsia="宋体"/>
          <w:bCs/>
          <w:iCs/>
          <w:szCs w:val="21"/>
        </w:rPr>
        <w:t xml:space="preserve"> </w:t>
      </w:r>
      <w:r>
        <w:rPr>
          <w:rFonts w:eastAsia="宋体"/>
          <w:bCs/>
          <w:iCs/>
          <w:szCs w:val="21"/>
        </w:rPr>
        <w:t>use case</w:t>
      </w:r>
      <w:r>
        <w:rPr>
          <w:rFonts w:hint="eastAsia" w:eastAsia="宋体"/>
          <w:bCs/>
          <w:iCs/>
          <w:szCs w:val="21"/>
        </w:rPr>
        <w:t xml:space="preserve"> and necessity</w:t>
      </w:r>
      <w:r>
        <w:rPr>
          <w:rFonts w:eastAsia="宋体"/>
          <w:bCs/>
          <w:iCs/>
          <w:szCs w:val="21"/>
        </w:rPr>
        <w:t xml:space="preserve"> into consideration</w:t>
      </w:r>
      <w:r>
        <w:rPr>
          <w:rFonts w:hint="eastAsia" w:eastAsia="宋体"/>
          <w:bCs/>
          <w:iCs/>
          <w:szCs w:val="21"/>
        </w:rPr>
        <w:t xml:space="preserve">, we have the following views on the </w:t>
      </w:r>
      <w:r>
        <w:rPr>
          <w:rFonts w:eastAsia="宋体"/>
          <w:bCs/>
          <w:iCs/>
          <w:szCs w:val="21"/>
        </w:rPr>
        <w:t xml:space="preserve">additional </w:t>
      </w:r>
      <w:r>
        <w:rPr>
          <w:rFonts w:hint="eastAsia" w:eastAsia="宋体"/>
          <w:bCs/>
          <w:iCs/>
          <w:szCs w:val="21"/>
        </w:rPr>
        <w:t>trigger events.</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Event-1</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Event-1 is quite similar as beam failure detection. Even though it can be assumed that Event-1 is triggered in the case that the current beam can still work with a not good quality but not with a quite worse quality as that in BFD, the necessity is still unclear. </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If there is a new beam better than the current beam, Event-2 can be triggered to assist NW to update the current beam. If there </w:t>
      </w:r>
      <w:r>
        <w:rPr>
          <w:rFonts w:eastAsia="宋体"/>
          <w:bCs/>
          <w:iCs/>
          <w:szCs w:val="21"/>
        </w:rPr>
        <w:t>are</w:t>
      </w:r>
      <w:r>
        <w:rPr>
          <w:rFonts w:hint="eastAsia" w:eastAsia="宋体"/>
          <w:bCs/>
          <w:iCs/>
          <w:szCs w:val="21"/>
        </w:rPr>
        <w:t xml:space="preserve"> no new beams better than the current beam and Event-1 is triggered, the UEIBR can only indicate to network </w:t>
      </w:r>
      <w:r>
        <w:rPr>
          <w:rFonts w:eastAsia="宋体"/>
          <w:bCs/>
          <w:iCs/>
          <w:szCs w:val="21"/>
        </w:rPr>
        <w:t>to initiate a new beam sweep</w:t>
      </w:r>
      <w:r>
        <w:rPr>
          <w:rFonts w:hint="eastAsia" w:eastAsia="宋体"/>
          <w:bCs/>
          <w:iCs/>
          <w:szCs w:val="21"/>
          <w:lang w:val="en-US" w:eastAsia="zh-CN"/>
        </w:rPr>
        <w:t>ing</w:t>
      </w:r>
      <w:r>
        <w:rPr>
          <w:rFonts w:eastAsia="宋体"/>
          <w:bCs/>
          <w:iCs/>
          <w:szCs w:val="21"/>
        </w:rPr>
        <w:t xml:space="preserve"> for identifying new beam. But, this method can be exactly handled by BFR procedure without indication of new candidate beam</w:t>
      </w:r>
      <w:r>
        <w:rPr>
          <w:rFonts w:hint="eastAsia" w:eastAsia="宋体"/>
          <w:bCs/>
          <w:iCs/>
          <w:szCs w:val="21"/>
        </w:rPr>
        <w:t xml:space="preserve">. </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Event-3</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Event-3 can be used to report the beams having a quite good quality, but the reported beams might not be helpful to network for TCI state update when the activated TCI states are all good enough.</w:t>
      </w:r>
      <w:r>
        <w:rPr>
          <w:rFonts w:eastAsia="宋体"/>
          <w:bCs/>
          <w:iCs/>
          <w:szCs w:val="21"/>
        </w:rPr>
        <w:t xml:space="preserve"> Subsequently, it may lead to resource wasting of UEIBR due to the redundant reporting. Meanwhile</w:t>
      </w:r>
      <w:r>
        <w:rPr>
          <w:rFonts w:hint="eastAsia" w:eastAsia="宋体"/>
          <w:bCs/>
          <w:iCs/>
          <w:szCs w:val="21"/>
        </w:rPr>
        <w:t>,</w:t>
      </w:r>
      <w:r>
        <w:rPr>
          <w:rFonts w:eastAsia="宋体"/>
          <w:bCs/>
          <w:iCs/>
          <w:szCs w:val="21"/>
        </w:rPr>
        <w:t xml:space="preserve"> configuring an appropriated threshold is quite difficult for gNB. </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Event-4</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Event-4 is for </w:t>
      </w:r>
      <w:r>
        <w:rPr>
          <w:rFonts w:eastAsia="宋体"/>
          <w:bCs/>
          <w:iCs/>
          <w:szCs w:val="21"/>
        </w:rPr>
        <w:t xml:space="preserve">the </w:t>
      </w:r>
      <w:r>
        <w:rPr>
          <w:rFonts w:hint="eastAsia" w:eastAsia="宋体"/>
          <w:bCs/>
          <w:iCs/>
          <w:szCs w:val="21"/>
        </w:rPr>
        <w:t xml:space="preserve">update of indicated TCI state as Event-2 and there is no obvious difference between these two trigger events in </w:t>
      </w:r>
      <w:r>
        <w:rPr>
          <w:rFonts w:eastAsia="宋体"/>
          <w:bCs/>
          <w:iCs/>
          <w:szCs w:val="21"/>
        </w:rPr>
        <w:t>principle. Besides, it is agnostic to gNB to determine the threshold of new beam in advance. H</w:t>
      </w:r>
      <w:r>
        <w:rPr>
          <w:rFonts w:hint="eastAsia" w:eastAsia="宋体"/>
          <w:bCs/>
          <w:iCs/>
          <w:szCs w:val="21"/>
        </w:rPr>
        <w:t>ence</w:t>
      </w:r>
      <w:r>
        <w:rPr>
          <w:rFonts w:eastAsia="宋体"/>
          <w:bCs/>
          <w:iCs/>
          <w:szCs w:val="21"/>
        </w:rPr>
        <w:t>,</w:t>
      </w:r>
      <w:r>
        <w:rPr>
          <w:rFonts w:hint="eastAsia" w:eastAsia="宋体"/>
          <w:bCs/>
          <w:iCs/>
          <w:szCs w:val="21"/>
        </w:rPr>
        <w:t xml:space="preserve"> Event-4 is unnecessary.</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Event-5</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eastAsia="宋体"/>
          <w:bCs/>
          <w:iCs/>
          <w:szCs w:val="21"/>
        </w:rPr>
        <w:t>The use case</w:t>
      </w:r>
      <w:r>
        <w:rPr>
          <w:rFonts w:hint="eastAsia" w:eastAsia="宋体"/>
          <w:bCs/>
          <w:iCs/>
          <w:szCs w:val="21"/>
        </w:rPr>
        <w:t xml:space="preserve"> of reporting a new beam with a quality close to the current beam is unclear.</w:t>
      </w:r>
      <w:r>
        <w:rPr>
          <w:rFonts w:eastAsia="宋体"/>
          <w:bCs/>
          <w:iCs/>
          <w:szCs w:val="21"/>
        </w:rPr>
        <w:t xml:space="preserve"> Some further justification may be needed if this event is relevant to identify another neighboring beam(s) between current and new beams in spatial domain. Then, if having an appropriated configuration for a threshold, we do believe that this feature can be handled well by event-2. </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Event-6</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Without the threshold, the current beam is not in the best K beam does not mean that the current beam requires to be updated. For instance, when quality of beams </w:t>
      </w:r>
      <w:r>
        <w:rPr>
          <w:rFonts w:eastAsia="宋体"/>
          <w:bCs/>
          <w:iCs/>
          <w:szCs w:val="21"/>
        </w:rPr>
        <w:t>is</w:t>
      </w:r>
      <w:r>
        <w:rPr>
          <w:rFonts w:hint="eastAsia" w:eastAsia="宋体"/>
          <w:bCs/>
          <w:iCs/>
          <w:szCs w:val="21"/>
        </w:rPr>
        <w:t xml:space="preserve"> close</w:t>
      </w:r>
      <w:r>
        <w:rPr>
          <w:rFonts w:eastAsia="宋体"/>
          <w:bCs/>
          <w:iCs/>
          <w:szCs w:val="21"/>
        </w:rPr>
        <w:t>d</w:t>
      </w:r>
      <w:r>
        <w:rPr>
          <w:rFonts w:hint="eastAsia" w:eastAsia="宋体"/>
          <w:bCs/>
          <w:iCs/>
          <w:szCs w:val="21"/>
        </w:rPr>
        <w:t xml:space="preserve"> to each other, even if the current beam is not in the best K beams, TCI state switching is not necessary.   </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Event-7a</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If the activated TCI state with the lowest quality is used for trigger event evaluation, the reporting frequency might be higher, which disobeys the principle of report overhead reduction.</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Meanwhile, as depicted as in Figure 1, basically only the worst activated TCI state or some worse activated TCI states can be updated by the new beams based on the reporting triggered by Event-7a. But the activated TCI state with a higher quality is more likely to be applied for transmissions, hence UEIBR triggered by Event-7a might be beneficial to ensure better quality of activated TCI states overall but it is not helpful to reduce the latency of TCI state switching.</w:t>
      </w:r>
    </w:p>
    <w:p>
      <w:pPr>
        <w:pStyle w:val="111"/>
        <w:widowControl w:val="0"/>
        <w:numPr>
          <w:ilvl w:val="255"/>
          <w:numId w:val="0"/>
        </w:numPr>
        <w:spacing w:before="72" w:beforeLines="30" w:after="72" w:afterLines="30" w:line="288" w:lineRule="auto"/>
        <w:jc w:val="center"/>
      </w:pPr>
      <w:r>
        <w:object>
          <v:shape id="_x0000_i1025" o:spt="75" type="#_x0000_t75" style="height:128pt;width:178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111"/>
        <w:widowControl w:val="0"/>
        <w:numPr>
          <w:ilvl w:val="255"/>
          <w:numId w:val="0"/>
        </w:numPr>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Quality of activated TCI states and new beams for Event-7a</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Event-7b</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Compared with Event-7a, due to quality of the new beam is better than any activated TCI states, the other activated TCI states besides the best activated TCI state can be updated based on the reporting triggered by Event-7b, which can be seen as in Figure 2.</w:t>
      </w:r>
    </w:p>
    <w:p>
      <w:pPr>
        <w:pStyle w:val="111"/>
        <w:widowControl w:val="0"/>
        <w:numPr>
          <w:ilvl w:val="255"/>
          <w:numId w:val="0"/>
        </w:numPr>
        <w:spacing w:before="72" w:beforeLines="30" w:after="72" w:afterLines="30" w:line="288" w:lineRule="auto"/>
        <w:jc w:val="center"/>
      </w:pPr>
      <w:r>
        <w:object>
          <v:shape id="_x0000_i1026" o:spt="75" type="#_x0000_t75" style="height:126pt;width:176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111"/>
        <w:widowControl w:val="0"/>
        <w:numPr>
          <w:ilvl w:val="255"/>
          <w:numId w:val="0"/>
        </w:numPr>
        <w:spacing w:before="72" w:beforeLines="30" w:after="72" w:afterLines="30" w:line="288" w:lineRule="auto"/>
        <w:jc w:val="center"/>
      </w:pPr>
      <w:r>
        <w:rPr>
          <w:rFonts w:hint="eastAsia" w:eastAsia="宋体"/>
          <w:b/>
          <w:bCs/>
        </w:rPr>
        <w:t>Figure 2</w:t>
      </w:r>
      <w:r>
        <w:rPr>
          <w:rFonts w:hint="eastAsia" w:eastAsia="宋体"/>
        </w:rPr>
        <w:t xml:space="preserve"> Quality of activated TCI states and new beams for Event-7b</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However, the triggering condition of Event-7b might be so tight that the reporting frequency can be relatively lower, and it </w:t>
      </w:r>
      <w:r>
        <w:rPr>
          <w:rFonts w:eastAsia="宋体"/>
          <w:bCs/>
          <w:iCs/>
          <w:szCs w:val="21"/>
        </w:rPr>
        <w:t xml:space="preserve">may </w:t>
      </w:r>
      <w:r>
        <w:rPr>
          <w:rFonts w:hint="eastAsia" w:eastAsia="宋体"/>
          <w:bCs/>
          <w:iCs/>
          <w:szCs w:val="21"/>
        </w:rPr>
        <w:t xml:space="preserve">lead to </w:t>
      </w:r>
      <w:r>
        <w:rPr>
          <w:rFonts w:eastAsia="宋体"/>
          <w:bCs/>
          <w:iCs/>
          <w:szCs w:val="21"/>
        </w:rPr>
        <w:t>significant latency for</w:t>
      </w:r>
      <w:r>
        <w:rPr>
          <w:rFonts w:hint="eastAsia" w:eastAsia="宋体"/>
          <w:bCs/>
          <w:iCs/>
          <w:szCs w:val="21"/>
        </w:rPr>
        <w:t xml:space="preserve"> activated TCI state update.</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eastAsia="宋体"/>
          <w:bCs/>
          <w:iCs/>
          <w:szCs w:val="21"/>
        </w:rPr>
        <w:t>F</w:t>
      </w:r>
      <w:r>
        <w:rPr>
          <w:rFonts w:hint="eastAsia" w:eastAsia="宋体"/>
          <w:bCs/>
          <w:iCs/>
          <w:szCs w:val="21"/>
        </w:rPr>
        <w:t>or the sake of a moderate reporting frequency and a tradeoff between timely activated TCI states update and indicated TCI state switch</w:t>
      </w:r>
      <w:r>
        <w:rPr>
          <w:rFonts w:eastAsia="宋体"/>
          <w:bCs/>
          <w:iCs/>
          <w:szCs w:val="21"/>
        </w:rPr>
        <w:t>ing</w:t>
      </w:r>
      <w:r>
        <w:rPr>
          <w:rFonts w:hint="eastAsia" w:eastAsia="宋体"/>
          <w:bCs/>
          <w:iCs/>
          <w:szCs w:val="21"/>
        </w:rPr>
        <w:t xml:space="preserve">, we suggest to introduce </w:t>
      </w:r>
      <w:r>
        <w:rPr>
          <w:rFonts w:eastAsia="宋体"/>
          <w:bCs/>
          <w:iCs/>
          <w:szCs w:val="21"/>
        </w:rPr>
        <w:t>a new variant of Event-7x</w:t>
      </w:r>
      <w:r>
        <w:rPr>
          <w:rFonts w:hint="eastAsia" w:eastAsia="宋体"/>
          <w:bCs/>
          <w:iCs/>
          <w:szCs w:val="21"/>
        </w:rPr>
        <w:t xml:space="preserve"> </w:t>
      </w:r>
      <w:r>
        <w:rPr>
          <w:rFonts w:eastAsia="宋体"/>
          <w:bCs/>
          <w:iCs/>
          <w:szCs w:val="21"/>
        </w:rPr>
        <w:t>accordingly, that is</w:t>
      </w:r>
      <w:r>
        <w:rPr>
          <w:rFonts w:hint="eastAsia" w:eastAsia="宋体"/>
          <w:bCs/>
          <w:iCs/>
          <w:szCs w:val="21"/>
        </w:rPr>
        <w:t>:</w:t>
      </w:r>
    </w:p>
    <w:p>
      <w:pPr>
        <w:pStyle w:val="111"/>
        <w:widowControl w:val="0"/>
        <w:numPr>
          <w:ilvl w:val="2"/>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 </w:t>
      </w:r>
      <w:r>
        <w:rPr>
          <w:rFonts w:eastAsia="宋体"/>
          <w:bCs/>
          <w:iCs/>
          <w:szCs w:val="21"/>
        </w:rPr>
        <w:t xml:space="preserve">Event-7c: </w:t>
      </w:r>
      <w:r>
        <w:rPr>
          <w:rFonts w:hint="eastAsia" w:eastAsia="宋体"/>
          <w:bCs/>
          <w:iCs/>
          <w:szCs w:val="21"/>
        </w:rPr>
        <w:t>Quality of at least one new beam, such as L1-RSRP, becomes a threshold value better than the RS derived from the activated TCI state with the M-th best quality</w:t>
      </w:r>
      <w:r>
        <w:rPr>
          <w:rFonts w:eastAsia="宋体"/>
          <w:bCs/>
          <w:iCs/>
          <w:szCs w:val="21"/>
        </w:rPr>
        <w:t xml:space="preserve"> (M </w:t>
      </w:r>
      <w:r>
        <w:rPr>
          <w:rFonts w:hint="eastAsia"/>
          <w:szCs w:val="20"/>
        </w:rPr>
        <w:t xml:space="preserve">≥ </w:t>
      </w:r>
      <w:r>
        <w:rPr>
          <w:szCs w:val="20"/>
        </w:rPr>
        <w:t>1</w:t>
      </w:r>
      <w:r>
        <w:rPr>
          <w:rFonts w:eastAsia="宋体"/>
          <w:bCs/>
          <w:iCs/>
          <w:szCs w:val="21"/>
        </w:rPr>
        <w:t>)</w:t>
      </w:r>
      <w:r>
        <w:rPr>
          <w:rFonts w:hint="eastAsia" w:eastAsia="宋体"/>
          <w:bCs/>
          <w:iCs/>
          <w:szCs w:val="21"/>
        </w:rPr>
        <w:t>.</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 xml:space="preserve">Besides </w:t>
      </w:r>
      <w:r>
        <w:rPr>
          <w:rFonts w:eastAsia="宋体"/>
          <w:bCs/>
          <w:iCs/>
          <w:szCs w:val="21"/>
        </w:rPr>
        <w:t xml:space="preserve">the </w:t>
      </w:r>
      <w:r>
        <w:rPr>
          <w:rFonts w:hint="eastAsia" w:eastAsia="宋体"/>
          <w:bCs/>
          <w:iCs/>
          <w:szCs w:val="21"/>
        </w:rPr>
        <w:t xml:space="preserve">reporting of the new beams, activated TCI states with quality not less than the M-th best quality should be supported. Similar </w:t>
      </w:r>
      <w:r>
        <w:rPr>
          <w:rFonts w:eastAsia="宋体"/>
          <w:bCs/>
          <w:iCs/>
          <w:szCs w:val="21"/>
        </w:rPr>
        <w:t>to</w:t>
      </w:r>
      <w:r>
        <w:rPr>
          <w:rFonts w:hint="eastAsia" w:eastAsia="宋体"/>
          <w:bCs/>
          <w:iCs/>
          <w:szCs w:val="21"/>
        </w:rPr>
        <w:t xml:space="preserve"> Event-7a, </w:t>
      </w:r>
      <w:r>
        <w:rPr>
          <w:rFonts w:eastAsia="宋体"/>
          <w:bCs/>
          <w:iCs/>
          <w:szCs w:val="21"/>
        </w:rPr>
        <w:t xml:space="preserve">although </w:t>
      </w:r>
      <w:r>
        <w:rPr>
          <w:rFonts w:hint="eastAsia" w:eastAsia="宋体"/>
          <w:bCs/>
          <w:iCs/>
          <w:szCs w:val="21"/>
        </w:rPr>
        <w:t>it cannot ensure that all the reported old activated TCI states can be updated by the new beams, at least the TCI states which are not reported and the activated TCI state with the M-th best quality can be updated</w:t>
      </w:r>
      <w:r>
        <w:rPr>
          <w:rFonts w:eastAsia="宋体"/>
          <w:bCs/>
          <w:iCs/>
          <w:szCs w:val="21"/>
        </w:rPr>
        <w:t xml:space="preserve"> accordingly</w:t>
      </w:r>
      <w:r>
        <w:rPr>
          <w:rFonts w:hint="eastAsia" w:eastAsia="宋体"/>
          <w:bCs/>
          <w:iCs/>
          <w:szCs w:val="21"/>
        </w:rPr>
        <w:t>. Whether the reported activated TCI states with quality not less than the M-th best quality can be updated or not might be determined according to the quality of new beams.</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Event-8</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Event-8 might could be an enhancement design based on Event-2, where the number of new beams better than the current beam is changed from at least one to more than one, which results in a lower reporting frequency. However, additionally supporting Event-8 seems unnecessary</w:t>
      </w:r>
      <w:r>
        <w:rPr>
          <w:rFonts w:eastAsia="宋体"/>
          <w:bCs/>
          <w:iCs/>
          <w:szCs w:val="21"/>
        </w:rPr>
        <w:t xml:space="preserve"> when compared to Event-2</w:t>
      </w:r>
      <w:r>
        <w:rPr>
          <w:rFonts w:hint="eastAsia" w:eastAsia="宋体"/>
          <w:bCs/>
          <w:iCs/>
          <w:szCs w:val="21"/>
        </w:rPr>
        <w:t xml:space="preserve">.  </w:t>
      </w:r>
    </w:p>
    <w:p>
      <w:pPr>
        <w:pStyle w:val="111"/>
        <w:widowControl w:val="0"/>
        <w:numPr>
          <w:ilvl w:val="0"/>
          <w:numId w:val="12"/>
        </w:numPr>
        <w:spacing w:before="72" w:beforeLines="30" w:after="72" w:afterLines="30" w:line="288" w:lineRule="auto"/>
        <w:ind w:firstLineChars="0"/>
        <w:jc w:val="both"/>
        <w:rPr>
          <w:rFonts w:eastAsia="宋体"/>
          <w:bCs/>
          <w:iCs/>
          <w:szCs w:val="21"/>
        </w:rPr>
      </w:pPr>
      <w:r>
        <w:rPr>
          <w:rFonts w:hint="eastAsia" w:eastAsia="宋体"/>
          <w:bCs/>
          <w:iCs/>
          <w:szCs w:val="21"/>
        </w:rPr>
        <w:t>Event-9</w:t>
      </w:r>
    </w:p>
    <w:p>
      <w:pPr>
        <w:pStyle w:val="111"/>
        <w:widowControl w:val="0"/>
        <w:numPr>
          <w:ilvl w:val="1"/>
          <w:numId w:val="12"/>
        </w:numPr>
        <w:spacing w:before="72" w:beforeLines="30" w:after="72" w:afterLines="30" w:line="288" w:lineRule="auto"/>
        <w:ind w:firstLineChars="0"/>
        <w:jc w:val="both"/>
        <w:rPr>
          <w:rFonts w:eastAsia="宋体"/>
          <w:bCs/>
          <w:iCs/>
          <w:szCs w:val="21"/>
        </w:rPr>
      </w:pPr>
      <w:r>
        <w:rPr>
          <w:rFonts w:hint="eastAsia" w:eastAsia="宋体"/>
          <w:bCs/>
          <w:iCs/>
          <w:szCs w:val="21"/>
        </w:rPr>
        <w:t>The benefits of supporting to use the configured reference RS but not that derived from the current beam as defined in Event-2 should be clarified</w:t>
      </w:r>
      <w:r>
        <w:rPr>
          <w:rFonts w:eastAsia="宋体"/>
          <w:bCs/>
          <w:iCs/>
          <w:szCs w:val="21"/>
        </w:rPr>
        <w:t xml:space="preserve"> at first</w:t>
      </w:r>
      <w:r>
        <w:rPr>
          <w:rFonts w:hint="eastAsia" w:eastAsia="宋体"/>
          <w:bCs/>
          <w:iCs/>
          <w:szCs w:val="21"/>
        </w:rPr>
        <w:t xml:space="preserve"> for Event-9. </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eastAsia="宋体"/>
          <w:b/>
          <w:i/>
          <w:szCs w:val="21"/>
        </w:rPr>
        <w:t>4</w:t>
      </w:r>
      <w:r>
        <w:rPr>
          <w:b/>
          <w:i/>
          <w:szCs w:val="21"/>
        </w:rPr>
        <w:t>:</w:t>
      </w:r>
      <w:r>
        <w:rPr>
          <w:bCs/>
          <w:i/>
          <w:szCs w:val="21"/>
        </w:rPr>
        <w:t xml:space="preserve"> </w:t>
      </w:r>
      <w:r>
        <w:rPr>
          <w:rFonts w:hint="eastAsia" w:eastAsia="宋体"/>
          <w:i/>
          <w:szCs w:val="20"/>
        </w:rPr>
        <w:t xml:space="preserve">On UE-initiated/event-driven beam reporting, support </w:t>
      </w:r>
      <w:r>
        <w:rPr>
          <w:rFonts w:eastAsia="宋体"/>
          <w:i/>
          <w:szCs w:val="20"/>
        </w:rPr>
        <w:t>to introduce one</w:t>
      </w:r>
      <w:r>
        <w:rPr>
          <w:rFonts w:hint="eastAsia" w:eastAsia="宋体"/>
          <w:i/>
          <w:szCs w:val="20"/>
        </w:rPr>
        <w:t xml:space="preserve"> trigger event for update of activated TCI states</w:t>
      </w:r>
      <w:r>
        <w:rPr>
          <w:rFonts w:eastAsia="宋体"/>
          <w:i/>
          <w:szCs w:val="20"/>
        </w:rPr>
        <w:t xml:space="preserve"> additionally</w:t>
      </w:r>
      <w:r>
        <w:rPr>
          <w:rFonts w:hint="eastAsia" w:eastAsia="宋体"/>
          <w:i/>
          <w:szCs w:val="20"/>
        </w:rPr>
        <w:t>.</w:t>
      </w:r>
    </w:p>
    <w:p>
      <w:pPr>
        <w:numPr>
          <w:ilvl w:val="0"/>
          <w:numId w:val="10"/>
        </w:numPr>
        <w:snapToGrid w:val="0"/>
        <w:spacing w:before="72" w:beforeLines="30" w:after="72" w:afterLines="30" w:line="288" w:lineRule="auto"/>
        <w:jc w:val="both"/>
        <w:rPr>
          <w:rFonts w:eastAsia="宋体"/>
          <w:i/>
          <w:iCs/>
        </w:rPr>
      </w:pPr>
      <w:r>
        <w:rPr>
          <w:rFonts w:hint="eastAsia" w:eastAsia="宋体"/>
          <w:i/>
          <w:iCs/>
        </w:rPr>
        <w:t>Event-7c: Quality of at least one new beam, such as L1-RSRP, becomes a threshold value better than the RS derived from the activated TCI state with the M-th best quality</w:t>
      </w:r>
      <w:r>
        <w:rPr>
          <w:rFonts w:eastAsia="宋体"/>
          <w:i/>
          <w:iCs/>
        </w:rPr>
        <w:t xml:space="preserve"> (</w:t>
      </w:r>
      <w:r>
        <w:rPr>
          <w:rFonts w:eastAsia="宋体"/>
          <w:bCs/>
          <w:i/>
          <w:iCs/>
          <w:szCs w:val="21"/>
        </w:rPr>
        <w:t xml:space="preserve">M </w:t>
      </w:r>
      <w:r>
        <w:rPr>
          <w:rFonts w:hint="eastAsia"/>
          <w:i/>
          <w:szCs w:val="20"/>
        </w:rPr>
        <w:t xml:space="preserve">≥ </w:t>
      </w:r>
      <w:r>
        <w:rPr>
          <w:i/>
          <w:szCs w:val="20"/>
        </w:rPr>
        <w:t>1</w:t>
      </w:r>
      <w:r>
        <w:rPr>
          <w:rFonts w:eastAsia="宋体"/>
          <w:i/>
          <w:iCs/>
        </w:rPr>
        <w:t>)</w:t>
      </w:r>
      <w:r>
        <w:rPr>
          <w:rFonts w:hint="eastAsia" w:eastAsia="宋体"/>
          <w:i/>
          <w:iCs/>
        </w:rPr>
        <w:t>.</w:t>
      </w:r>
    </w:p>
    <w:p>
      <w:pPr>
        <w:numPr>
          <w:ilvl w:val="0"/>
          <w:numId w:val="10"/>
        </w:numPr>
        <w:snapToGrid w:val="0"/>
        <w:spacing w:before="72" w:beforeLines="30" w:after="72" w:afterLines="30" w:line="288" w:lineRule="auto"/>
        <w:jc w:val="both"/>
        <w:rPr>
          <w:rFonts w:eastAsia="宋体"/>
          <w:i/>
          <w:iCs/>
        </w:rPr>
      </w:pPr>
      <w:r>
        <w:rPr>
          <w:rFonts w:hint="eastAsia" w:eastAsia="宋体"/>
          <w:i/>
          <w:iCs/>
        </w:rPr>
        <w:t xml:space="preserve">FFS: </w:t>
      </w:r>
      <w:r>
        <w:rPr>
          <w:rFonts w:eastAsia="宋体"/>
          <w:i/>
          <w:iCs/>
        </w:rPr>
        <w:t>How to determine the</w:t>
      </w:r>
      <w:r>
        <w:rPr>
          <w:rFonts w:hint="eastAsia" w:eastAsia="宋体"/>
          <w:i/>
          <w:iCs/>
        </w:rPr>
        <w:t xml:space="preserve"> value of M.</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contents</w:t>
      </w:r>
    </w:p>
    <w:p>
      <w:pPr>
        <w:snapToGrid w:val="0"/>
        <w:spacing w:before="72" w:beforeLines="30" w:after="72" w:afterLines="30" w:line="288" w:lineRule="auto"/>
        <w:jc w:val="both"/>
        <w:rPr>
          <w:rFonts w:eastAsia="宋体"/>
          <w:b/>
          <w:sz w:val="28"/>
          <w:szCs w:val="28"/>
        </w:rPr>
      </w:pPr>
      <w:r>
        <w:rPr>
          <w:rFonts w:hint="eastAsia" w:eastAsia="宋体"/>
        </w:rPr>
        <w:t>In RAN1#116 and RAN1#116b meeting, the following agreements on signaling contents of a UE-initiated beam report were endorsed [2,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05"/>
              <w:snapToGrid w:val="0"/>
              <w:spacing w:before="60" w:after="60" w:afterAutospacing="0" w:line="240" w:lineRule="auto"/>
              <w:ind w:firstLine="0"/>
              <w:rPr>
                <w:rFonts w:ascii="Times" w:hAnsi="Times" w:eastAsia="等线" w:cs="Times"/>
                <w:highlight w:val="green"/>
                <w:lang w:val="en-US" w:eastAsia="zh-CN"/>
              </w:rPr>
            </w:pPr>
            <w:r>
              <w:rPr>
                <w:rFonts w:eastAsia="等线"/>
                <w:b/>
                <w:bCs/>
                <w:u w:val="single"/>
                <w:lang w:val="en-US" w:eastAsia="zh-CN"/>
              </w:rPr>
              <w:t>Agreement</w:t>
            </w:r>
          </w:p>
          <w:p>
            <w:pPr>
              <w:overflowPunct w:val="0"/>
              <w:autoSpaceDE w:val="0"/>
              <w:autoSpaceDN w:val="0"/>
              <w:adjustRightInd w:val="0"/>
              <w:snapToGrid w:val="0"/>
              <w:spacing w:before="72" w:beforeLines="30" w:after="72" w:afterLines="30" w:line="288" w:lineRule="auto"/>
              <w:jc w:val="both"/>
              <w:textAlignment w:val="baseline"/>
              <w:rPr>
                <w:rFonts w:cs="Times"/>
                <w:color w:val="000000"/>
                <w:szCs w:val="20"/>
              </w:rPr>
            </w:pPr>
            <w:r>
              <w:rPr>
                <w:rFonts w:cs="Times"/>
                <w:color w:val="000000"/>
                <w:szCs w:val="20"/>
              </w:rPr>
              <w:t xml:space="preserve">On UE-initiated/event-driven beam reporting, regarding signaling content(s), at least support DL RS resource indicator and L1-RSRP </w:t>
            </w:r>
          </w:p>
          <w:p>
            <w:pPr>
              <w:numPr>
                <w:ilvl w:val="0"/>
                <w:numId w:val="9"/>
              </w:numPr>
              <w:snapToGrid w:val="0"/>
              <w:spacing w:before="72" w:beforeLines="30" w:after="72" w:afterLines="30" w:line="288" w:lineRule="auto"/>
              <w:jc w:val="both"/>
              <w:rPr>
                <w:rFonts w:cs="Times"/>
                <w:color w:val="000000"/>
                <w:szCs w:val="20"/>
              </w:rPr>
            </w:pPr>
            <w:r>
              <w:rPr>
                <w:rFonts w:cs="Times"/>
                <w:color w:val="000000"/>
                <w:szCs w:val="20"/>
              </w:rPr>
              <w:t>FFS: Study and decide whether additional contents can be supported.</w:t>
            </w:r>
          </w:p>
          <w:p>
            <w:pPr>
              <w:numPr>
                <w:ilvl w:val="0"/>
                <w:numId w:val="9"/>
              </w:numPr>
              <w:snapToGrid w:val="0"/>
              <w:spacing w:before="72" w:beforeLines="30" w:after="72" w:afterLines="30" w:line="288" w:lineRule="auto"/>
              <w:jc w:val="both"/>
              <w:rPr>
                <w:rFonts w:cs="Times"/>
                <w:color w:val="000000"/>
                <w:szCs w:val="20"/>
              </w:rPr>
            </w:pPr>
            <w:r>
              <w:rPr>
                <w:rFonts w:cs="Times"/>
                <w:color w:val="000000"/>
                <w:szCs w:val="20"/>
              </w:rPr>
              <w:t>FFS: L1-RSRP format, e.g., absolute and/or differential value.</w:t>
            </w:r>
          </w:p>
          <w:p>
            <w:pPr>
              <w:numPr>
                <w:ilvl w:val="0"/>
                <w:numId w:val="9"/>
              </w:numPr>
              <w:snapToGrid w:val="0"/>
              <w:spacing w:before="72" w:beforeLines="30" w:after="72" w:afterLines="30" w:line="288" w:lineRule="auto"/>
              <w:jc w:val="both"/>
              <w:rPr>
                <w:rFonts w:cs="Times"/>
                <w:color w:val="000000"/>
                <w:szCs w:val="20"/>
              </w:rPr>
            </w:pPr>
            <w:r>
              <w:rPr>
                <w:rFonts w:cs="Times"/>
                <w:color w:val="000000"/>
                <w:szCs w:val="20"/>
              </w:rPr>
              <w:t>Note: Above does not imply to preclude discussion on L1-RSRP filtering.</w:t>
            </w:r>
          </w:p>
          <w:p>
            <w:pPr>
              <w:numPr>
                <w:ilvl w:val="0"/>
                <w:numId w:val="9"/>
              </w:numPr>
              <w:snapToGrid w:val="0"/>
              <w:spacing w:before="72" w:beforeLines="30" w:after="72" w:afterLines="30" w:line="288" w:lineRule="auto"/>
              <w:jc w:val="both"/>
              <w:rPr>
                <w:rFonts w:eastAsia="宋体"/>
              </w:rPr>
            </w:pPr>
            <w:r>
              <w:rPr>
                <w:rFonts w:cs="Times"/>
                <w:color w:val="000000"/>
                <w:szCs w:val="20"/>
              </w:rPr>
              <w:t>The actual reported content depends on the triggering event</w:t>
            </w:r>
          </w:p>
          <w:p>
            <w:pPr>
              <w:numPr>
                <w:ilvl w:val="1"/>
                <w:numId w:val="9"/>
              </w:numPr>
              <w:snapToGrid w:val="0"/>
              <w:spacing w:before="72" w:beforeLines="30" w:after="72" w:afterLines="30" w:line="288" w:lineRule="auto"/>
              <w:jc w:val="both"/>
              <w:rPr>
                <w:rFonts w:eastAsia="宋体"/>
              </w:rPr>
            </w:pPr>
            <w:r>
              <w:rPr>
                <w:rFonts w:cs="Times"/>
                <w:color w:val="000000"/>
                <w:szCs w:val="20"/>
              </w:rPr>
              <w:t>Support of one or multiple events will be discussed separately</w:t>
            </w:r>
          </w:p>
          <w:p>
            <w:pPr>
              <w:pStyle w:val="105"/>
              <w:snapToGrid w:val="0"/>
              <w:spacing w:before="60" w:after="60" w:afterAutospacing="0" w:line="240" w:lineRule="auto"/>
              <w:ind w:firstLine="0"/>
              <w:rPr>
                <w:rFonts w:ascii="Times" w:hAnsi="Times" w:eastAsia="等线" w:cs="Times"/>
                <w:highlight w:val="green"/>
                <w:lang w:val="en-US" w:eastAsia="zh-CN"/>
              </w:rPr>
            </w:pPr>
            <w:r>
              <w:rPr>
                <w:rFonts w:eastAsia="等线"/>
                <w:b/>
                <w:bCs/>
                <w:u w:val="single"/>
                <w:lang w:val="en-US" w:eastAsia="zh-CN"/>
              </w:rPr>
              <w:t>Agreement</w:t>
            </w:r>
          </w:p>
          <w:p>
            <w:pPr>
              <w:snapToGrid w:val="0"/>
              <w:spacing w:before="72" w:beforeLines="30" w:after="72" w:afterLines="30" w:line="288" w:lineRule="auto"/>
              <w:jc w:val="both"/>
              <w:rPr>
                <w:szCs w:val="20"/>
              </w:rPr>
            </w:pPr>
            <w:r>
              <w:rPr>
                <w:szCs w:val="20"/>
              </w:rPr>
              <w:t>On UE-initiated/event-driven beam reporting, regarding UL signaling content(s) of L1-RSRP report depending on Event-2, in a report instance, the following options are provided for down-selection (other options are not precluded) in RAN1#117</w:t>
            </w:r>
          </w:p>
          <w:p>
            <w:pPr>
              <w:numPr>
                <w:ilvl w:val="0"/>
                <w:numId w:val="9"/>
              </w:numPr>
              <w:snapToGrid w:val="0"/>
              <w:spacing w:before="72" w:beforeLines="30" w:after="72" w:afterLines="30" w:line="288" w:lineRule="auto"/>
              <w:jc w:val="both"/>
              <w:rPr>
                <w:rFonts w:cs="Times"/>
                <w:szCs w:val="20"/>
              </w:rPr>
            </w:pPr>
            <w:r>
              <w:rPr>
                <w:rFonts w:cs="Times"/>
                <w:szCs w:val="20"/>
              </w:rPr>
              <w:t xml:space="preserve">Option-1 (variable size): </w:t>
            </w:r>
            <w:r>
              <w:rPr>
                <w:szCs w:val="20"/>
              </w:rPr>
              <w:t xml:space="preserve">N beam(s) are reported in the report instance, where N </w:t>
            </w:r>
            <w:r>
              <w:rPr>
                <w:szCs w:val="20"/>
              </w:rPr>
              <w:fldChar w:fldCharType="begin"/>
            </w:r>
            <w:r>
              <w:rPr>
                <w:szCs w:val="20"/>
              </w:rPr>
              <w:instrText xml:space="preserve"> QUOTE </w:instrText>
            </w:r>
            <w:r>
              <w:rPr>
                <w:position w:val="-4"/>
                <w:szCs w:val="20"/>
              </w:rPr>
              <w:pict>
                <v:shape id="_x0000_i1027" o:spt="75" type="#_x0000_t75" style="height:11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lt;/m:t&gt;&lt;/m:r&gt;&lt;/m:oMath&gt;&lt;/m:oMathPara&gt;&lt;/w:p&gt;&lt;w:sectPr wsp:rsidR=&quot;00000000&quot;&gt;&lt;w:pgSz w:w=&quot;12240&quot; w:h=&quot;15840&quot;/&gt;&lt;w:pgMar w:top=&quot;1440r&quot; a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szCs w:val="20"/>
              </w:rPr>
              <w:instrText xml:space="preserve"> </w:instrText>
            </w:r>
            <w:r>
              <w:rPr>
                <w:szCs w:val="20"/>
              </w:rPr>
              <w:fldChar w:fldCharType="separate"/>
            </w:r>
            <w:r>
              <w:rPr>
                <w:position w:val="-4"/>
                <w:szCs w:val="20"/>
              </w:rPr>
              <w:pict>
                <v:shape id="_x0000_i1028" o:spt="75" type="#_x0000_t75" style="height:11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lt;/m:t&gt;&lt;/m:r&gt;&lt;/m:oMath&gt;&lt;/m:oMathPara&gt;&lt;/w:p&gt;&lt;w:sectPr wsp:rsidR=&quot;00000000&quot;&gt;&lt;w:pgSz w:w=&quot;12240&quot; w:h=&quot;15840&quot;/&gt;&lt;w:pgMar w:top=&quot;1440r&quot; a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szCs w:val="20"/>
              </w:rPr>
              <w:fldChar w:fldCharType="end"/>
            </w:r>
            <w:r>
              <w:rPr>
                <w:szCs w:val="20"/>
              </w:rPr>
              <w:t xml:space="preserve"> {1, 2, </w:t>
            </w:r>
            <w:r>
              <w:rPr>
                <w:rFonts w:hint="eastAsia"/>
                <w:szCs w:val="20"/>
              </w:rPr>
              <w:t>.</w:t>
            </w:r>
            <w:r>
              <w:rPr>
                <w:szCs w:val="20"/>
              </w:rPr>
              <w:t>.., N</w:t>
            </w:r>
            <w:r>
              <w:rPr>
                <w:szCs w:val="20"/>
                <w:vertAlign w:val="subscript"/>
              </w:rPr>
              <w:t>max</w:t>
            </w:r>
            <w:r>
              <w:rPr>
                <w:szCs w:val="20"/>
              </w:rPr>
              <w:t>}</w:t>
            </w:r>
          </w:p>
          <w:p>
            <w:pPr>
              <w:pStyle w:val="111"/>
              <w:numPr>
                <w:ilvl w:val="1"/>
                <w:numId w:val="9"/>
              </w:numPr>
              <w:snapToGrid w:val="0"/>
              <w:spacing w:before="72" w:beforeLines="30" w:after="72" w:afterLines="30" w:line="288" w:lineRule="auto"/>
              <w:ind w:firstLineChars="0"/>
              <w:jc w:val="both"/>
              <w:rPr>
                <w:rFonts w:cs="Times"/>
                <w:szCs w:val="20"/>
              </w:rPr>
            </w:pPr>
            <w:r>
              <w:rPr>
                <w:rFonts w:cs="Times"/>
                <w:szCs w:val="20"/>
              </w:rPr>
              <w:t>The N beam(s) should satisfy the condition of Event-2</w:t>
            </w:r>
          </w:p>
          <w:p>
            <w:pPr>
              <w:pStyle w:val="111"/>
              <w:numPr>
                <w:ilvl w:val="1"/>
                <w:numId w:val="9"/>
              </w:numPr>
              <w:snapToGrid w:val="0"/>
              <w:spacing w:before="72" w:beforeLines="30" w:after="72" w:afterLines="30" w:line="288" w:lineRule="auto"/>
              <w:ind w:firstLineChars="0"/>
              <w:jc w:val="both"/>
              <w:rPr>
                <w:rFonts w:cs="Times"/>
                <w:szCs w:val="20"/>
              </w:rPr>
            </w:pPr>
            <w:r>
              <w:rPr>
                <w:szCs w:val="20"/>
              </w:rPr>
              <w:t>N</w:t>
            </w:r>
            <w:r>
              <w:rPr>
                <w:szCs w:val="20"/>
                <w:vertAlign w:val="subscript"/>
              </w:rPr>
              <w:t>max</w:t>
            </w:r>
            <w:r>
              <w:rPr>
                <w:rFonts w:cs="Times"/>
                <w:szCs w:val="20"/>
              </w:rPr>
              <w:t xml:space="preserve"> is configured by gNB </w:t>
            </w:r>
          </w:p>
          <w:p>
            <w:pPr>
              <w:pStyle w:val="111"/>
              <w:numPr>
                <w:ilvl w:val="1"/>
                <w:numId w:val="9"/>
              </w:numPr>
              <w:snapToGrid w:val="0"/>
              <w:spacing w:before="72" w:beforeLines="30" w:after="72" w:afterLines="30" w:line="288" w:lineRule="auto"/>
              <w:ind w:firstLineChars="0"/>
              <w:jc w:val="both"/>
              <w:rPr>
                <w:rFonts w:cs="Times"/>
                <w:szCs w:val="20"/>
              </w:rPr>
            </w:pPr>
            <w:r>
              <w:rPr>
                <w:szCs w:val="20"/>
              </w:rPr>
              <w:t>FFS: Whether the indication of payload size should be provided additionally.</w:t>
            </w:r>
          </w:p>
          <w:p>
            <w:pPr>
              <w:numPr>
                <w:ilvl w:val="0"/>
                <w:numId w:val="9"/>
              </w:numPr>
              <w:snapToGrid w:val="0"/>
              <w:spacing w:before="72" w:beforeLines="30" w:after="72" w:afterLines="30" w:line="288" w:lineRule="auto"/>
              <w:jc w:val="both"/>
              <w:rPr>
                <w:rFonts w:cs="Times"/>
                <w:szCs w:val="20"/>
              </w:rPr>
            </w:pPr>
            <w:r>
              <w:rPr>
                <w:rFonts w:cs="Times"/>
                <w:szCs w:val="20"/>
              </w:rPr>
              <w:t>Option-1</w:t>
            </w:r>
            <w:r>
              <w:rPr>
                <w:rFonts w:hint="eastAsia" w:cs="Times"/>
                <w:szCs w:val="20"/>
              </w:rPr>
              <w:t>a</w:t>
            </w:r>
            <w:r>
              <w:rPr>
                <w:rFonts w:cs="Times"/>
                <w:szCs w:val="20"/>
              </w:rPr>
              <w:t xml:space="preserve"> (variable size): </w:t>
            </w:r>
            <w:r>
              <w:rPr>
                <w:szCs w:val="20"/>
              </w:rPr>
              <w:t xml:space="preserve">N beam(s) are reported in the report instance, where N </w:t>
            </w:r>
            <w:r>
              <w:rPr>
                <w:szCs w:val="20"/>
              </w:rPr>
              <w:fldChar w:fldCharType="begin"/>
            </w:r>
            <w:r>
              <w:rPr>
                <w:szCs w:val="20"/>
              </w:rPr>
              <w:instrText xml:space="preserve"> QUOTE </w:instrText>
            </w:r>
            <w:r>
              <w:rPr>
                <w:position w:val="-4"/>
                <w:szCs w:val="20"/>
              </w:rPr>
              <w:pict>
                <v:shape id="_x0000_i1029" o:spt="75" type="#_x0000_t75" style="height:11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lt;/m:t&gt;&lt;/m:r&gt;&lt;/m:oMath&gt;&lt;/m:oMathPara&gt;&lt;/w:p&gt;&lt;w:sectPr wsp:rsidR=&quot;00000000&quot;&gt;&lt;w:pgSz w:w=&quot;12240&quot; w:h=&quot;15840&quot;/&gt;&lt;w:pgMar w:top=&quot;1440r&quot; a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szCs w:val="20"/>
              </w:rPr>
              <w:instrText xml:space="preserve"> </w:instrText>
            </w:r>
            <w:r>
              <w:rPr>
                <w:szCs w:val="20"/>
              </w:rPr>
              <w:fldChar w:fldCharType="separate"/>
            </w:r>
            <w:r>
              <w:rPr>
                <w:position w:val="-4"/>
                <w:szCs w:val="20"/>
              </w:rPr>
              <w:pict>
                <v:shape id="_x0000_i1030" o:spt="75" type="#_x0000_t75" style="height:11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31AB&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E31AB&quot; wsp:rsidRDefault=&quot;004E31AB&quot; wsp:rsidP=&quot;004E31AB&quot;&gt;&lt;m:oMathPara&gt;&lt;m:oMath&gt;&lt;m:r&gt;&lt;w:rPr&gt;&lt;w:rFonts w:ascii=&quot;Cambria Math&quot; w:h-ansi=&quot;Cambria Math&quot;/&gt;&lt;wx:font wx:val=&quot;Cambria Math&quot;/&gt;&lt;w:i/&gt;&lt;w:sz w:val=&quot;18&quot;/&gt;&lt;w:sz-cs w:val=&quot;18&quot;/&gt;&lt;w:lang w:fareast=&quot;ZH-CN&quot;/&gt;&lt;/w:rPr&gt;&lt;m:t&gt;∈&lt;/m:t&gt;&lt;/m:r&gt;&lt;/m:oMath&gt;&lt;/m:oMathPara&gt;&lt;/w:p&gt;&lt;w:sectPr wsp:rsidR=&quot;00000000&quot;&gt;&lt;w:pgSz w:w=&quot;12240&quot; w:h=&quot;15840&quot;/&gt;&lt;w:pgMar w:top=&quot;1440r&quot; a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szCs w:val="20"/>
              </w:rPr>
              <w:fldChar w:fldCharType="end"/>
            </w:r>
            <w:r>
              <w:rPr>
                <w:szCs w:val="20"/>
              </w:rPr>
              <w:t xml:space="preserve"> {1, 2, </w:t>
            </w:r>
            <w:r>
              <w:rPr>
                <w:rFonts w:hint="eastAsia"/>
                <w:szCs w:val="20"/>
              </w:rPr>
              <w:t>.</w:t>
            </w:r>
            <w:r>
              <w:rPr>
                <w:szCs w:val="20"/>
              </w:rPr>
              <w:t>.., N</w:t>
            </w:r>
            <w:r>
              <w:rPr>
                <w:szCs w:val="20"/>
                <w:vertAlign w:val="subscript"/>
              </w:rPr>
              <w:t>max</w:t>
            </w:r>
            <w:r>
              <w:rPr>
                <w:szCs w:val="20"/>
              </w:rPr>
              <w:t>}</w:t>
            </w:r>
          </w:p>
          <w:p>
            <w:pPr>
              <w:numPr>
                <w:ilvl w:val="1"/>
                <w:numId w:val="9"/>
              </w:numPr>
              <w:snapToGrid w:val="0"/>
              <w:spacing w:before="72" w:beforeLines="30" w:after="72" w:afterLines="30" w:line="288" w:lineRule="auto"/>
              <w:jc w:val="both"/>
              <w:rPr>
                <w:szCs w:val="20"/>
              </w:rPr>
            </w:pPr>
            <w:r>
              <w:rPr>
                <w:szCs w:val="20"/>
              </w:rPr>
              <w:t xml:space="preserve">At least one of N reported beam(s) should </w:t>
            </w:r>
            <w:r>
              <w:rPr>
                <w:rFonts w:cs="Times"/>
                <w:szCs w:val="20"/>
              </w:rPr>
              <w:t>satisfy the condition of Event-2</w:t>
            </w:r>
          </w:p>
          <w:p>
            <w:pPr>
              <w:pStyle w:val="111"/>
              <w:numPr>
                <w:ilvl w:val="1"/>
                <w:numId w:val="9"/>
              </w:numPr>
              <w:snapToGrid w:val="0"/>
              <w:spacing w:before="72" w:beforeLines="30" w:after="72" w:afterLines="30" w:line="288" w:lineRule="auto"/>
              <w:ind w:firstLineChars="0"/>
              <w:jc w:val="both"/>
              <w:rPr>
                <w:rFonts w:cs="Times"/>
                <w:szCs w:val="20"/>
              </w:rPr>
            </w:pPr>
            <w:r>
              <w:rPr>
                <w:szCs w:val="20"/>
              </w:rPr>
              <w:t>N</w:t>
            </w:r>
            <w:r>
              <w:rPr>
                <w:szCs w:val="20"/>
                <w:vertAlign w:val="subscript"/>
              </w:rPr>
              <w:t>max</w:t>
            </w:r>
            <w:r>
              <w:rPr>
                <w:rFonts w:cs="Times"/>
                <w:szCs w:val="20"/>
              </w:rPr>
              <w:t xml:space="preserve"> is configured by gNB </w:t>
            </w:r>
          </w:p>
          <w:p>
            <w:pPr>
              <w:pStyle w:val="111"/>
              <w:numPr>
                <w:ilvl w:val="1"/>
                <w:numId w:val="9"/>
              </w:numPr>
              <w:snapToGrid w:val="0"/>
              <w:spacing w:before="72" w:beforeLines="30" w:after="72" w:afterLines="30" w:line="288" w:lineRule="auto"/>
              <w:ind w:firstLineChars="0"/>
              <w:jc w:val="both"/>
              <w:rPr>
                <w:rFonts w:cs="Times"/>
                <w:szCs w:val="20"/>
              </w:rPr>
            </w:pPr>
            <w:r>
              <w:rPr>
                <w:szCs w:val="20"/>
              </w:rPr>
              <w:t>FFS: Whether the indication of payload size should be provided additionally.</w:t>
            </w:r>
          </w:p>
          <w:p>
            <w:pPr>
              <w:pStyle w:val="111"/>
              <w:numPr>
                <w:ilvl w:val="1"/>
                <w:numId w:val="9"/>
              </w:numPr>
              <w:snapToGrid w:val="0"/>
              <w:spacing w:before="72" w:beforeLines="30" w:after="72" w:afterLines="30" w:line="288" w:lineRule="auto"/>
              <w:ind w:firstLineChars="0"/>
              <w:jc w:val="both"/>
              <w:rPr>
                <w:rFonts w:cs="Times"/>
                <w:szCs w:val="20"/>
              </w:rPr>
            </w:pPr>
            <w:r>
              <w:rPr>
                <w:szCs w:val="20"/>
              </w:rPr>
              <w:t>FFS: Details on how value of N is determined by the UE</w:t>
            </w:r>
          </w:p>
          <w:p>
            <w:pPr>
              <w:numPr>
                <w:ilvl w:val="0"/>
                <w:numId w:val="9"/>
              </w:numPr>
              <w:snapToGrid w:val="0"/>
              <w:spacing w:before="72" w:beforeLines="30" w:after="72" w:afterLines="30" w:line="288" w:lineRule="auto"/>
              <w:jc w:val="both"/>
              <w:rPr>
                <w:rFonts w:cs="Times"/>
                <w:szCs w:val="20"/>
              </w:rPr>
            </w:pPr>
            <w:r>
              <w:rPr>
                <w:rFonts w:cs="Times"/>
                <w:szCs w:val="20"/>
              </w:rPr>
              <w:t xml:space="preserve">Option-1b: </w:t>
            </w:r>
            <w:r>
              <w:rPr>
                <w:szCs w:val="20"/>
              </w:rPr>
              <w:t xml:space="preserve">N beam(s) are reported in the report instance, where N </w:t>
            </w:r>
            <w:r>
              <w:rPr>
                <w:szCs w:val="20"/>
              </w:rPr>
              <w:fldChar w:fldCharType="begin"/>
            </w:r>
            <w:r>
              <w:rPr>
                <w:szCs w:val="20"/>
              </w:rPr>
              <w:instrText xml:space="preserve"> QUOTE </w:instrText>
            </w:r>
            <w:r>
              <w:rPr>
                <w:position w:val="-4"/>
                <w:szCs w:val="20"/>
              </w:rPr>
              <w:pict>
                <v:shape id="_x0000_i1031" o:spt="75" type="#_x0000_t75" style="height:11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83A&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1483A&quot; wsp:rsidRDefault=&quot;0041483A&quot; wsp:rsidP=&quot;0041483A&quot;&gt;&lt;m:oMathPara&gt;&lt;m:oMath&gt;&lt;m:r&gt;&lt;w:rPr&gt;&lt;w:rFonts w:ascii=&quot;Cambria Math&quot; w:h-ansi=&quot;Cambria Math&quot;/&gt;&lt;wx:font wx:val=&quot;Cambria Math&quot;/&gt;&lt;w:i/&gt;&lt;w:sz w:val=&quot;18&quot;/&gt;&lt;w:sz-cs w:val=&quot;18&quot;/&gt;&lt;w:lang w:fareast=&quot;ZH-CN&quot;/&gt;&lt;/w:rPr&gt;&lt;m:t&gt;∈&lt;/m:t&gt;&lt;/m:r&gt;&lt;/m:oMath&gt;&lt;/m:oMathPara&gt;&lt;/w:p&gt;&lt;w:sectPr wsp:rsidR=&quot;00000000&quot;&gt;&lt;w:pgSz w:w=&quot;12240&quot; w:h=&quot;15840&quot;/&gt;&lt;w:pgMar w:top=&quot;1440r&quot; a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szCs w:val="20"/>
              </w:rPr>
              <w:instrText xml:space="preserve"> </w:instrText>
            </w:r>
            <w:r>
              <w:rPr>
                <w:szCs w:val="20"/>
              </w:rPr>
              <w:fldChar w:fldCharType="separate"/>
            </w:r>
            <w:r>
              <w:rPr>
                <w:position w:val="-4"/>
                <w:szCs w:val="20"/>
              </w:rPr>
              <w:pict>
                <v:shape id="_x0000_i1032" o:spt="75" type="#_x0000_t75" style="height:11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E1D&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4DE6&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244C&quot;/&gt;&lt;wsp:rsid wsp:val=&quot;000939F4&quot;/&gt;&lt;wsp:rsid wsp:val=&quot;00096102&quot;/&gt;&lt;wsp:rsid wsp:val=&quot;000A028B&quot;/&gt;&lt;wsp:rsid wsp:val=&quot;000A0641&quot;/&gt;&lt;wsp:rsid wsp:val=&quot;000A1ACE&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6EE6&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0C30&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7BD&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510&quot;/&gt;&lt;wsp:rsid wsp:val=&quot;00135DF2&quot;/&gt;&lt;wsp:rsid wsp:val=&quot;00135FC7&quot;/&gt;&lt;wsp:rsid wsp:val=&quot;001374BD&quot;/&gt;&lt;wsp:rsid wsp:val=&quot;001376F6&quot;/&gt;&lt;wsp:rsid wsp:val=&quot;001450EC&quot;/&gt;&lt;wsp:rsid wsp:val=&quot;00146D61&quot;/&gt;&lt;wsp:rsid wsp:val=&quot;00150036&quot;/&gt;&lt;wsp:rsid wsp:val=&quot;00156174&quot;/&gt;&lt;wsp:rsid wsp:val=&quot;00156493&quot;/&gt;&lt;wsp:rsid wsp:val=&quot;00156875&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847&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642&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1BE8&quot;/&gt;&lt;wsp:rsid wsp:val=&quot;00232AB7&quot;/&gt;&lt;wsp:rsid wsp:val=&quot;00236835&quot;/&gt;&lt;wsp:rsid wsp:val=&quot;00237671&quot;/&gt;&lt;wsp:rsid wsp:val=&quot;002403C8&quot;/&gt;&lt;wsp:rsid wsp:val=&quot;00241387&quot;/&gt;&lt;wsp:rsid wsp:val=&quot;002418CB&quot;/&gt;&lt;wsp:rsid wsp:val=&quot;00241B33&quot;/&gt;&lt;wsp:rsid wsp:val=&quot;00241D48&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012C&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046&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1E90&quot;/&gt;&lt;wsp:rsid wsp:val=&quot;002C2567&quot;/&gt;&lt;wsp:rsid wsp:val=&quot;002C3BE0&quot;/&gt;&lt;wsp:rsid wsp:val=&quot;002C450D&quot;/&gt;&lt;wsp:rsid wsp:val=&quot;002C5DF1&quot;/&gt;&lt;wsp:rsid wsp:val=&quot;002C63EE&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2F7C89&quot;/&gt;&lt;wsp:rsid wsp:val=&quot;00302398&quot;/&gt;&lt;wsp:rsid wsp:val=&quot;00302668&quot;/&gt;&lt;wsp:rsid wsp:val=&quot;00304116&quot;/&gt;&lt;wsp:rsid wsp:val=&quot;0030546D&quot;/&gt;&lt;wsp:rsid wsp:val=&quot;0030621D&quot;/&gt;&lt;wsp:rsid wsp:val=&quot;00312952&quot;/&gt;&lt;wsp:rsid wsp:val=&quot;00316E10&quot;/&gt;&lt;wsp:rsid wsp:val=&quot;0032089E&quot;/&gt;&lt;wsp:rsid wsp:val=&quot;0032260F&quot;/&gt;&lt;wsp:rsid wsp:val=&quot;0032301D&quot;/&gt;&lt;wsp:rsid wsp:val=&quot;003230FF&quot;/&gt;&lt;wsp:rsid wsp:val=&quot;003236CA&quot;/&gt;&lt;wsp:rsid wsp:val=&quot;0032415B&quot;/&gt;&lt;wsp:rsid wsp:val=&quot;0032432F&quot;/&gt;&lt;wsp:rsid wsp:val=&quot;003269DE&quot;/&gt;&lt;wsp:rsid wsp:val=&quot;00327708&quot;/&gt;&lt;wsp:rsid wsp:val=&quot;0033037F&quot;/&gt;&lt;wsp:rsid wsp:val=&quot;00330394&quot;/&gt;&lt;wsp:rsid wsp:val=&quot;00334F8A&quot;/&gt;&lt;wsp:rsid wsp:val=&quot;00337119&quot;/&gt;&lt;wsp:rsid wsp:val=&quot;00343017&quot;/&gt;&lt;wsp:rsid wsp:val=&quot;00343A55&quot;/&gt;&lt;wsp:rsid wsp:val=&quot;00345EEA&quot;/&gt;&lt;wsp:rsid wsp:val=&quot;003521DB&quot;/&gt;&lt;wsp:rsid wsp:val=&quot;003544C1&quot;/&gt;&lt;wsp:rsid wsp:val=&quot;00354926&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4B43&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449B&quot;/&gt;&lt;wsp:rsid wsp:val=&quot;004058AD&quot;/&gt;&lt;wsp:rsid wsp:val=&quot;00407841&quot;/&gt;&lt;wsp:rsid wsp:val=&quot;004109C3&quot;/&gt;&lt;wsp:rsid wsp:val=&quot;00414181&quot;/&gt;&lt;wsp:rsid wsp:val=&quot;0041483A&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27E4B&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1412&quot;/&gt;&lt;wsp:rsid wsp:val=&quot;00443E99&quot;/&gt;&lt;wsp:rsid wsp:val=&quot;00444FB6&quot;/&gt;&lt;wsp:rsid wsp:val=&quot;004500C2&quot;/&gt;&lt;wsp:rsid wsp:val=&quot;00451D41&quot;/&gt;&lt;wsp:rsid wsp:val=&quot;00452710&quot;/&gt;&lt;wsp:rsid wsp:val=&quot;00454FD7&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6E8A&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2706&quot;/&gt;&lt;wsp:rsid wsp:val=&quot;004E40C3&quot;/&gt;&lt;wsp:rsid wsp:val=&quot;004E4F65&quot;/&gt;&lt;wsp:rsid wsp:val=&quot;004E734C&quot;/&gt;&lt;wsp:rsid wsp:val=&quot;004F31B8&quot;/&gt;&lt;wsp:rsid wsp:val=&quot;004F344E&quot;/&gt;&lt;wsp:rsid wsp:val=&quot;004F3C11&quot;/&gt;&lt;wsp:rsid wsp:val=&quot;004F4425&quot;/&gt;&lt;wsp:rsid wsp:val=&quot;004F6AB3&quot;/&gt;&lt;wsp:rsid wsp:val=&quot;00501F57&quot;/&gt;&lt;wsp:rsid wsp:val=&quot;00502853&quot;/&gt;&lt;wsp:rsid wsp:val=&quot;00506067&quot;/&gt;&lt;wsp:rsid wsp:val=&quot;00507A26&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64F&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833&quot;/&gt;&lt;wsp:rsid wsp:val=&quot;00556A4D&quot;/&gt;&lt;wsp:rsid wsp:val=&quot;0056006B&quot;/&gt;&lt;wsp:rsid wsp:val=&quot;00563073&quot;/&gt;&lt;wsp:rsid wsp:val=&quot;005634EC&quot;/&gt;&lt;wsp:rsid wsp:val=&quot;005644A0&quot;/&gt;&lt;wsp:rsid wsp:val=&quot;00564EB1&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A4FF0&quot;/&gt;&lt;wsp:rsid wsp:val=&quot;005B0BB3&quot;/&gt;&lt;wsp:rsid wsp:val=&quot;005B18C2&quot;/&gt;&lt;wsp:rsid wsp:val=&quot;005B1D2C&quot;/&gt;&lt;wsp:rsid wsp:val=&quot;005B1F22&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109D&quot;/&gt;&lt;wsp:rsid wsp:val=&quot;005D4467&quot;/&gt;&lt;wsp:rsid wsp:val=&quot;005E1E3F&quot;/&gt;&lt;wsp:rsid wsp:val=&quot;005E4C37&quot;/&gt;&lt;wsp:rsid wsp:val=&quot;005E6646&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0C7&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3CD&quot;/&gt;&lt;wsp:rsid wsp:val=&quot;00621BC3&quot;/&gt;&lt;wsp:rsid wsp:val=&quot;00622DB5&quot;/&gt;&lt;wsp:rsid wsp:val=&quot;00623D44&quot;/&gt;&lt;wsp:rsid wsp:val=&quot;0062423A&quot;/&gt;&lt;wsp:rsid wsp:val=&quot;0062423E&quot;/&gt;&lt;wsp:rsid wsp:val=&quot;0062486E&quot;/&gt;&lt;wsp:rsid wsp:val=&quot;00624905&quot;/&gt;&lt;wsp:rsid wsp:val=&quot;0062653E&quot;/&gt;&lt;wsp:rsid wsp:val=&quot;006309FF&quot;/&gt;&lt;wsp:rsid wsp:val=&quot;00632486&quot;/&gt;&lt;wsp:rsid wsp:val=&quot;006354A8&quot;/&gt;&lt;wsp:rsid wsp:val=&quot;00636884&quot;/&gt;&lt;wsp:rsid wsp:val=&quot;00636CCF&quot;/&gt;&lt;wsp:rsid wsp:val=&quot;00640051&quot;/&gt;&lt;wsp:rsid wsp:val=&quot;00640CBB&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379&quot;/&gt;&lt;wsp:rsid wsp:val=&quot;006B3BB5&quot;/&gt;&lt;wsp:rsid wsp:val=&quot;006B55E3&quot;/&gt;&lt;wsp:rsid wsp:val=&quot;006B57DD&quot;/&gt;&lt;wsp:rsid wsp:val=&quot;006B5DD5&quot;/&gt;&lt;wsp:rsid wsp:val=&quot;006B7AF5&quot;/&gt;&lt;wsp:rsid wsp:val=&quot;006C1ACC&quot;/&gt;&lt;wsp:rsid wsp:val=&quot;006C3D56&quot;/&gt;&lt;wsp:rsid wsp:val=&quot;006C3F49&quot;/&gt;&lt;wsp:rsid wsp:val=&quot;006C50EE&quot;/&gt;&lt;wsp:rsid wsp:val=&quot;006C7A4B&quot;/&gt;&lt;wsp:rsid wsp:val=&quot;006C7F77&quot;/&gt;&lt;wsp:rsid wsp:val=&quot;006D1DA0&quot;/&gt;&lt;wsp:rsid wsp:val=&quot;006D5B08&quot;/&gt;&lt;wsp:rsid wsp:val=&quot;006D7A0E&quot;/&gt;&lt;wsp:rsid wsp:val=&quot;006E5673&quot;/&gt;&lt;wsp:rsid wsp:val=&quot;006F02CF&quot;/&gt;&lt;wsp:rsid wsp:val=&quot;006F1592&quot;/&gt;&lt;wsp:rsid wsp:val=&quot;006F337F&quot;/&gt;&lt;wsp:rsid wsp:val=&quot;006F4666&quot;/&gt;&lt;wsp:rsid wsp:val=&quot;006F51CB&quot;/&gt;&lt;wsp:rsid wsp:val=&quot;006F5AF4&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4F6C&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2615&quot;/&gt;&lt;wsp:rsid wsp:val=&quot;007436A7&quot;/&gt;&lt;wsp:rsid wsp:val=&quot;007436B8&quot;/&gt;&lt;wsp:rsid wsp:val=&quot;007473CE&quot;/&gt;&lt;wsp:rsid wsp:val=&quot;00750C4B&quot;/&gt;&lt;wsp:rsid wsp:val=&quot;00750E49&quot;/&gt;&lt;wsp:rsid wsp:val=&quot;00753B18&quot;/&gt;&lt;wsp:rsid wsp:val=&quot;00755079&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1F86&quot;/&gt;&lt;wsp:rsid wsp:val=&quot;00775235&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17C&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498C&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C7552&quot;/&gt;&lt;wsp:rsid wsp:val=&quot;007D016A&quot;/&gt;&lt;wsp:rsid wsp:val=&quot;007D2EAC&quot;/&gt;&lt;wsp:rsid wsp:val=&quot;007D3A03&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8A8&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A3C&quot;/&gt;&lt;wsp:rsid wsp:val=&quot;00827B33&quot;/&gt;&lt;wsp:rsid wsp:val=&quot;00832C0D&quot;/&gt;&lt;wsp:rsid wsp:val=&quot;00832EF8&quot;/&gt;&lt;wsp:rsid wsp:val=&quot;00837020&quot;/&gt;&lt;wsp:rsid wsp:val=&quot;008376E5&quot;/&gt;&lt;wsp:rsid wsp:val=&quot;00837A40&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2949&quot;/&gt;&lt;wsp:rsid wsp:val=&quot;00864E0E&quot;/&gt;&lt;wsp:rsid wsp:val=&quot;00865D45&quot;/&gt;&lt;wsp:rsid wsp:val=&quot;00870290&quot;/&gt;&lt;wsp:rsid wsp:val=&quot;0087282C&quot;/&gt;&lt;wsp:rsid wsp:val=&quot;00873D1D&quot;/&gt;&lt;wsp:rsid wsp:val=&quot;008744A9&quot;/&gt;&lt;wsp:rsid wsp:val=&quot;00874888&quot;/&gt;&lt;wsp:rsid wsp:val=&quot;0087629E&quot;/&gt;&lt;wsp:rsid wsp:val=&quot;00876344&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868C4&quot;/&gt;&lt;wsp:rsid wsp:val=&quot;008903CA&quot;/&gt;&lt;wsp:rsid wsp:val=&quot;00896910&quot;/&gt;&lt;wsp:rsid wsp:val=&quot;00896BCB&quot;/&gt;&lt;wsp:rsid wsp:val=&quot;0089715E&quot;/&gt;&lt;wsp:rsid wsp:val=&quot;008A0CAB&quot;/&gt;&lt;wsp:rsid wsp:val=&quot;008A0D18&quot;/&gt;&lt;wsp:rsid wsp:val=&quot;008A33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4229&quot;/&gt;&lt;wsp:rsid wsp:val=&quot;008F57F8&quot;/&gt;&lt;wsp:rsid wsp:val=&quot;008F621B&quot;/&gt;&lt;wsp:rsid wsp:val=&quot;008F668B&quot;/&gt;&lt;wsp:rsid wsp:val=&quot;008F6E6F&quot;/&gt;&lt;wsp:rsid wsp:val=&quot;008F757B&quot;/&gt;&lt;wsp:rsid wsp:val=&quot;008F7720&quot;/&gt;&lt;wsp:rsid wsp:val=&quot;008F7C25&quot;/&gt;&lt;wsp:rsid wsp:val=&quot;00901F7D&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3BDC&quot;/&gt;&lt;wsp:rsid wsp:val=&quot;00954ED7&quot;/&gt;&lt;wsp:rsid wsp:val=&quot;009559A2&quot;/&gt;&lt;wsp:rsid wsp:val=&quot;00955AFA&quot;/&gt;&lt;wsp:rsid wsp:val=&quot;00957FBE&quot;/&gt;&lt;wsp:rsid wsp:val=&quot;00960785&quot;/&gt;&lt;wsp:rsid wsp:val=&quot;00961DB4&quot;/&gt;&lt;wsp:rsid wsp:val=&quot;009620DD&quot;/&gt;&lt;wsp:rsid wsp:val=&quot;009657DE&quot;/&gt;&lt;wsp:rsid wsp:val=&quot;00965BF9&quot;/&gt;&lt;wsp:rsid wsp:val=&quot;00966705&quot;/&gt;&lt;wsp:rsid wsp:val=&quot;00966FD8&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3BA&quot;/&gt;&lt;wsp:rsid wsp:val=&quot;0098461A&quot;/&gt;&lt;wsp:rsid wsp:val=&quot;00984A91&quot;/&gt;&lt;wsp:rsid wsp:val=&quot;00985935&quot;/&gt;&lt;wsp:rsid wsp:val=&quot;00992F81&quot;/&gt;&lt;wsp:rsid wsp:val=&quot;009952F2&quot;/&gt;&lt;wsp:rsid wsp:val=&quot;009954CA&quot;/&gt;&lt;wsp:rsid wsp:val=&quot;009A029F&quot;/&gt;&lt;wsp:rsid wsp:val=&quot;009A02D8&quot;/&gt;&lt;wsp:rsid wsp:val=&quot;009A0603&quot;/&gt;&lt;wsp:rsid wsp:val=&quot;009A48F0&quot;/&gt;&lt;wsp:rsid wsp:val=&quot;009A5A09&quot;/&gt;&lt;wsp:rsid wsp:val=&quot;009A6F45&quot;/&gt;&lt;wsp:rsid wsp:val=&quot;009B1106&quot;/&gt;&lt;wsp:rsid wsp:val=&quot;009B16F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5EE9&quot;/&gt;&lt;wsp:rsid wsp:val=&quot;009C706C&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9CF&quot;/&gt;&lt;wsp:rsid wsp:val=&quot;009E2F39&quot;/&gt;&lt;wsp:rsid wsp:val=&quot;009E2FD3&quot;/&gt;&lt;wsp:rsid wsp:val=&quot;009E4019&quot;/&gt;&lt;wsp:rsid wsp:val=&quot;009E45DB&quot;/&gt;&lt;wsp:rsid wsp:val=&quot;009E45E5&quot;/&gt;&lt;wsp:rsid wsp:val=&quot;009E4A2A&quot;/&gt;&lt;wsp:rsid wsp:val=&quot;009E6740&quot;/&gt;&lt;wsp:rsid wsp:val=&quot;009E753A&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7C5&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3635E&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67CEC&quot;/&gt;&lt;wsp:rsid wsp:val=&quot;00A71137&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97337&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3DB6&quot;/&gt;&lt;wsp:rsid wsp:val=&quot;00AB5CB1&quot;/&gt;&lt;wsp:rsid wsp:val=&quot;00AC0C03&quot;/&gt;&lt;wsp:rsid wsp:val=&quot;00AC278D&quot;/&gt;&lt;wsp:rsid wsp:val=&quot;00AC3F1E&quot;/&gt;&lt;wsp:rsid wsp:val=&quot;00AC49F7&quot;/&gt;&lt;wsp:rsid wsp:val=&quot;00AC5033&quot;/&gt;&lt;wsp:rsid wsp:val=&quot;00AC7554&quot;/&gt;&lt;wsp:rsid wsp:val=&quot;00AD1FF2&quot;/&gt;&lt;wsp:rsid wsp:val=&quot;00AD2F16&quot;/&gt;&lt;wsp:rsid wsp:val=&quot;00AD2FAF&quot;/&gt;&lt;wsp:rsid wsp:val=&quot;00AD4AFD&quot;/&gt;&lt;wsp:rsid wsp:val=&quot;00AD623E&quot;/&gt;&lt;wsp:rsid wsp:val=&quot;00AD6658&quot;/&gt;&lt;wsp:rsid wsp:val=&quot;00AD7C0A&quot;/&gt;&lt;wsp:rsid wsp:val=&quot;00AE1A76&quot;/&gt;&lt;wsp:rsid wsp:val=&quot;00AE22B1&quot;/&gt;&lt;wsp:rsid wsp:val=&quot;00AE4352&quot;/&gt;&lt;wsp:rsid wsp:val=&quot;00AE554F&quot;/&gt;&lt;wsp:rsid wsp:val=&quot;00AF2722&quot;/&gt;&lt;wsp:rsid wsp:val=&quot;00AF2F6E&quot;/&gt;&lt;wsp:rsid wsp:val=&quot;00AF5D19&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64B0&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1E7&quot;/&gt;&lt;wsp:rsid wsp:val=&quot;00B354B5&quot;/&gt;&lt;wsp:rsid wsp:val=&quot;00B3574E&quot;/&gt;&lt;wsp:rsid wsp:val=&quot;00B36328&quot;/&gt;&lt;wsp:rsid wsp:val=&quot;00B37535&quot;/&gt;&lt;wsp:rsid wsp:val=&quot;00B375F5&quot;/&gt;&lt;wsp:rsid wsp:val=&quot;00B40351&quot;/&gt;&lt;wsp:rsid wsp:val=&quot;00B40D93&quot;/&gt;&lt;wsp:rsid wsp:val=&quot;00B41045&quot;/&gt;&lt;wsp:rsid wsp:val=&quot;00B42516&quot;/&gt;&lt;wsp:rsid wsp:val=&quot;00B426A7&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4CA7&quot;/&gt;&lt;wsp:rsid wsp:val=&quot;00B55528&quot;/&gt;&lt;wsp:rsid wsp:val=&quot;00B55BD8&quot;/&gt;&lt;wsp:rsid wsp:val=&quot;00B57F15&quot;/&gt;&lt;wsp:rsid wsp:val=&quot;00B601DC&quot;/&gt;&lt;wsp:rsid wsp:val=&quot;00B613D8&quot;/&gt;&lt;wsp:rsid wsp:val=&quot;00B61D5E&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092&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38D7&quot;/&gt;&lt;wsp:rsid wsp:val=&quot;00BE4A93&quot;/&gt;&lt;wsp:rsid wsp:val=&quot;00BF1087&quot;/&gt;&lt;wsp:rsid wsp:val=&quot;00BF1F78&quot;/&gt;&lt;wsp:rsid wsp:val=&quot;00BF2FE0&quot;/&gt;&lt;wsp:rsid wsp:val=&quot;00BF3FF3&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853&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52C&quot;/&gt;&lt;wsp:rsid wsp:val=&quot;00D1153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1DC1&quot;/&gt;&lt;wsp:rsid wsp:val=&quot;00D5459E&quot;/&gt;&lt;wsp:rsid wsp:val=&quot;00D5616D&quot;/&gt;&lt;wsp:rsid wsp:val=&quot;00D56D42&quot;/&gt;&lt;wsp:rsid wsp:val=&quot;00D5711F&quot;/&gt;&lt;wsp:rsid wsp:val=&quot;00D616F1&quot;/&gt;&lt;wsp:rsid wsp:val=&quot;00D63474&quot;/&gt;&lt;wsp:rsid wsp:val=&quot;00D64B68&quot;/&gt;&lt;wsp:rsid wsp:val=&quot;00D65FEE&quot;/&gt;&lt;wsp:rsid wsp:val=&quot;00D66373&quot;/&gt;&lt;wsp:rsid wsp:val=&quot;00D6781B&quot;/&gt;&lt;wsp:rsid wsp:val=&quot;00D72213&quot;/&gt;&lt;wsp:rsid wsp:val=&quot;00D7224C&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41C1&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6C6&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207B&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4BDB&quot;/&gt;&lt;wsp:rsid wsp:val=&quot;00E7512C&quot;/&gt;&lt;wsp:rsid wsp:val=&quot;00E75E82&quot;/&gt;&lt;wsp:rsid wsp:val=&quot;00E76E10&quot;/&gt;&lt;wsp:rsid wsp:val=&quot;00E76FE1&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1CE&quot;/&gt;&lt;wsp:rsid wsp:val=&quot;00EE588F&quot;/&gt;&lt;wsp:rsid wsp:val=&quot;00EE7873&quot;/&gt;&lt;wsp:rsid wsp:val=&quot;00EF0679&quot;/&gt;&lt;wsp:rsid wsp:val=&quot;00EF0FDC&quot;/&gt;&lt;wsp:rsid wsp:val=&quot;00EF13A7&quot;/&gt;&lt;wsp:rsid wsp:val=&quot;00EF1AAC&quot;/&gt;&lt;wsp:rsid wsp:val=&quot;00EF31D8&quot;/&gt;&lt;wsp:rsid wsp:val=&quot;00EF3F39&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1983&quot;/&gt;&lt;wsp:rsid wsp:val=&quot;00F12365&quot;/&gt;&lt;wsp:rsid wsp:val=&quot;00F12DEA&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316F7&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4B0B&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1B1&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1483A&quot; wsp:rsidRDefault=&quot;0041483A&quot; wsp:rsidP=&quot;0041483A&quot;&gt;&lt;m:oMathPara&gt;&lt;m:oMath&gt;&lt;m:r&gt;&lt;w:rPr&gt;&lt;w:rFonts w:ascii=&quot;Cambria Math&quot; w:h-ansi=&quot;Cambria Math&quot;/&gt;&lt;wx:font wx:val=&quot;Cambria Math&quot;/&gt;&lt;w:i/&gt;&lt;w:sz w:val=&quot;18&quot;/&gt;&lt;w:sz-cs w:val=&quot;18&quot;/&gt;&lt;w:lang w:fareast=&quot;ZH-CN&quot;/&gt;&lt;/w:rPr&gt;&lt;m:t&gt;∈&lt;/m:t&gt;&lt;/m:r&gt;&lt;/m:oMath&gt;&lt;/m:oMathPara&gt;&lt;/w:p&gt;&lt;w:sectPr wsp:rsidR=&quot;00000000&quot;&gt;&lt;w:pgSz w:w=&quot;12240&quot; w:h=&quot;15840&quot;/&gt;&lt;w:pgMar w:top=&quot;1440r&quot; a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szCs w:val="20"/>
              </w:rPr>
              <w:fldChar w:fldCharType="end"/>
            </w:r>
            <w:r>
              <w:rPr>
                <w:szCs w:val="20"/>
              </w:rPr>
              <w:t xml:space="preserve"> {1, 2, </w:t>
            </w:r>
            <w:r>
              <w:rPr>
                <w:rFonts w:hint="eastAsia"/>
                <w:szCs w:val="20"/>
              </w:rPr>
              <w:t>.</w:t>
            </w:r>
            <w:r>
              <w:rPr>
                <w:szCs w:val="20"/>
              </w:rPr>
              <w:t>.., N</w:t>
            </w:r>
            <w:r>
              <w:rPr>
                <w:szCs w:val="20"/>
                <w:vertAlign w:val="subscript"/>
              </w:rPr>
              <w:t>max</w:t>
            </w:r>
            <w:r>
              <w:rPr>
                <w:szCs w:val="20"/>
              </w:rPr>
              <w:t>}</w:t>
            </w:r>
          </w:p>
          <w:p>
            <w:pPr>
              <w:numPr>
                <w:ilvl w:val="1"/>
                <w:numId w:val="9"/>
              </w:numPr>
              <w:snapToGrid w:val="0"/>
              <w:spacing w:before="72" w:beforeLines="30" w:after="72" w:afterLines="30" w:line="288" w:lineRule="auto"/>
              <w:jc w:val="both"/>
              <w:rPr>
                <w:rFonts w:cs="Times"/>
                <w:szCs w:val="20"/>
              </w:rPr>
            </w:pPr>
            <w:r>
              <w:rPr>
                <w:rFonts w:cs="Times"/>
                <w:szCs w:val="20"/>
              </w:rPr>
              <w:t>The N beam(s) should satisfy the condition of Event-2</w:t>
            </w:r>
          </w:p>
          <w:p>
            <w:pPr>
              <w:numPr>
                <w:ilvl w:val="1"/>
                <w:numId w:val="9"/>
              </w:numPr>
              <w:snapToGrid w:val="0"/>
              <w:spacing w:before="72" w:beforeLines="30" w:after="72" w:afterLines="30" w:line="288" w:lineRule="auto"/>
              <w:jc w:val="both"/>
              <w:rPr>
                <w:rFonts w:cs="Times"/>
                <w:szCs w:val="20"/>
              </w:rPr>
            </w:pPr>
            <w:r>
              <w:rPr>
                <w:szCs w:val="20"/>
              </w:rPr>
              <w:t>N</w:t>
            </w:r>
            <w:r>
              <w:rPr>
                <w:szCs w:val="20"/>
                <w:vertAlign w:val="subscript"/>
              </w:rPr>
              <w:t>max</w:t>
            </w:r>
            <w:r>
              <w:rPr>
                <w:rFonts w:cs="Times"/>
                <w:szCs w:val="20"/>
              </w:rPr>
              <w:t xml:space="preserve"> is configured by gNB </w:t>
            </w:r>
          </w:p>
          <w:p>
            <w:pPr>
              <w:numPr>
                <w:ilvl w:val="1"/>
                <w:numId w:val="9"/>
              </w:numPr>
              <w:snapToGrid w:val="0"/>
              <w:spacing w:before="72" w:beforeLines="30" w:after="72" w:afterLines="30" w:line="288" w:lineRule="auto"/>
              <w:jc w:val="both"/>
              <w:rPr>
                <w:rFonts w:cs="Times"/>
                <w:szCs w:val="20"/>
              </w:rPr>
            </w:pPr>
            <w:r>
              <w:rPr>
                <w:rFonts w:cs="Times"/>
                <w:szCs w:val="20"/>
              </w:rPr>
              <w:t>Payload size does not vary as a function of N</w:t>
            </w:r>
          </w:p>
          <w:p>
            <w:pPr>
              <w:numPr>
                <w:ilvl w:val="1"/>
                <w:numId w:val="9"/>
              </w:numPr>
              <w:snapToGrid w:val="0"/>
              <w:spacing w:before="72" w:beforeLines="30" w:after="72" w:afterLines="30" w:line="288" w:lineRule="auto"/>
              <w:jc w:val="both"/>
              <w:rPr>
                <w:rFonts w:cs="Times"/>
                <w:szCs w:val="20"/>
              </w:rPr>
            </w:pPr>
            <w:r>
              <w:rPr>
                <w:szCs w:val="20"/>
              </w:rPr>
              <w:t>FFS: Zero-padding can be provided if N is less than N</w:t>
            </w:r>
            <w:r>
              <w:rPr>
                <w:szCs w:val="20"/>
                <w:vertAlign w:val="subscript"/>
              </w:rPr>
              <w:t>max</w:t>
            </w:r>
            <w:r>
              <w:rPr>
                <w:szCs w:val="20"/>
              </w:rPr>
              <w:t>.</w:t>
            </w:r>
          </w:p>
          <w:p>
            <w:pPr>
              <w:numPr>
                <w:ilvl w:val="0"/>
                <w:numId w:val="9"/>
              </w:numPr>
              <w:snapToGrid w:val="0"/>
              <w:spacing w:before="72" w:beforeLines="30" w:after="72" w:afterLines="30" w:line="288" w:lineRule="auto"/>
              <w:jc w:val="both"/>
              <w:rPr>
                <w:rFonts w:cs="Times"/>
                <w:szCs w:val="20"/>
              </w:rPr>
            </w:pPr>
            <w:r>
              <w:rPr>
                <w:rFonts w:hint="eastAsia" w:cs="Times"/>
                <w:szCs w:val="20"/>
              </w:rPr>
              <w:t>Opt</w:t>
            </w:r>
            <w:r>
              <w:rPr>
                <w:rFonts w:cs="Times"/>
                <w:szCs w:val="20"/>
              </w:rPr>
              <w:t xml:space="preserve">ion-2: Only N=1 </w:t>
            </w:r>
            <w:r>
              <w:rPr>
                <w:szCs w:val="20"/>
              </w:rPr>
              <w:t xml:space="preserve">beam is reported in the report instance </w:t>
            </w:r>
          </w:p>
          <w:p>
            <w:pPr>
              <w:numPr>
                <w:ilvl w:val="1"/>
                <w:numId w:val="9"/>
              </w:numPr>
              <w:snapToGrid w:val="0"/>
              <w:spacing w:before="72" w:beforeLines="30" w:after="72" w:afterLines="30" w:line="288" w:lineRule="auto"/>
              <w:jc w:val="both"/>
              <w:rPr>
                <w:rFonts w:cs="Times"/>
                <w:szCs w:val="20"/>
              </w:rPr>
            </w:pPr>
            <w:r>
              <w:rPr>
                <w:szCs w:val="20"/>
              </w:rPr>
              <w:t xml:space="preserve">The reported beam </w:t>
            </w:r>
            <w:r>
              <w:rPr>
                <w:rFonts w:cs="Times"/>
                <w:szCs w:val="20"/>
              </w:rPr>
              <w:t>should satisfy the condition of Event-2</w:t>
            </w:r>
          </w:p>
          <w:p>
            <w:pPr>
              <w:numPr>
                <w:ilvl w:val="0"/>
                <w:numId w:val="9"/>
              </w:numPr>
              <w:snapToGrid w:val="0"/>
              <w:spacing w:before="72" w:beforeLines="30" w:after="72" w:afterLines="30" w:line="288" w:lineRule="auto"/>
              <w:jc w:val="both"/>
              <w:rPr>
                <w:szCs w:val="20"/>
              </w:rPr>
            </w:pPr>
            <w:r>
              <w:rPr>
                <w:rFonts w:cs="Times"/>
                <w:szCs w:val="20"/>
              </w:rPr>
              <w:t xml:space="preserve">Option-3: </w:t>
            </w:r>
            <w:r>
              <w:rPr>
                <w:szCs w:val="20"/>
              </w:rPr>
              <w:t xml:space="preserve">N </w:t>
            </w:r>
            <w:r>
              <w:rPr>
                <w:rFonts w:hint="eastAsia"/>
                <w:szCs w:val="20"/>
              </w:rPr>
              <w:t xml:space="preserve">≥ </w:t>
            </w:r>
            <w:r>
              <w:rPr>
                <w:szCs w:val="20"/>
              </w:rPr>
              <w:t xml:space="preserve">1 beam(s) are reported in the report instance,  </w:t>
            </w:r>
          </w:p>
          <w:p>
            <w:pPr>
              <w:numPr>
                <w:ilvl w:val="1"/>
                <w:numId w:val="9"/>
              </w:numPr>
              <w:snapToGrid w:val="0"/>
              <w:spacing w:before="72" w:beforeLines="30" w:after="72" w:afterLines="30" w:line="288" w:lineRule="auto"/>
              <w:jc w:val="both"/>
              <w:rPr>
                <w:szCs w:val="20"/>
              </w:rPr>
            </w:pPr>
            <w:r>
              <w:rPr>
                <w:szCs w:val="20"/>
              </w:rPr>
              <w:t>At least one of N reported beam(s) should satisfy the condition of Event-2</w:t>
            </w:r>
          </w:p>
          <w:p>
            <w:pPr>
              <w:numPr>
                <w:ilvl w:val="1"/>
                <w:numId w:val="9"/>
              </w:numPr>
              <w:snapToGrid w:val="0"/>
              <w:spacing w:before="72" w:beforeLines="30" w:after="72" w:afterLines="30" w:line="288" w:lineRule="auto"/>
              <w:jc w:val="both"/>
              <w:rPr>
                <w:szCs w:val="20"/>
              </w:rPr>
            </w:pPr>
            <w:r>
              <w:rPr>
                <w:szCs w:val="20"/>
              </w:rPr>
              <w:t xml:space="preserve">N is configured by gNB </w:t>
            </w:r>
          </w:p>
          <w:p>
            <w:pPr>
              <w:numPr>
                <w:ilvl w:val="0"/>
                <w:numId w:val="9"/>
              </w:numPr>
              <w:snapToGrid w:val="0"/>
              <w:spacing w:before="72" w:beforeLines="30" w:after="72" w:afterLines="30" w:line="288" w:lineRule="auto"/>
              <w:jc w:val="both"/>
              <w:rPr>
                <w:szCs w:val="20"/>
              </w:rPr>
            </w:pPr>
            <w:r>
              <w:rPr>
                <w:szCs w:val="20"/>
              </w:rPr>
              <w:t>Other options are not precluded.</w:t>
            </w:r>
          </w:p>
          <w:p>
            <w:pPr>
              <w:numPr>
                <w:ilvl w:val="0"/>
                <w:numId w:val="9"/>
              </w:numPr>
              <w:snapToGrid w:val="0"/>
              <w:spacing w:before="72" w:beforeLines="30" w:after="72" w:afterLines="30" w:line="288" w:lineRule="auto"/>
              <w:jc w:val="both"/>
              <w:rPr>
                <w:szCs w:val="20"/>
              </w:rPr>
            </w:pPr>
            <w:r>
              <w:rPr>
                <w:szCs w:val="20"/>
              </w:rPr>
              <w:t>FFS: Whether the measurement results for current beam is always reported or can be enabled by RRC.</w:t>
            </w:r>
          </w:p>
          <w:p>
            <w:pPr>
              <w:numPr>
                <w:ilvl w:val="0"/>
                <w:numId w:val="9"/>
              </w:numPr>
              <w:snapToGrid w:val="0"/>
              <w:spacing w:before="72" w:beforeLines="30" w:after="72" w:afterLines="30" w:line="288" w:lineRule="auto"/>
              <w:jc w:val="both"/>
              <w:rPr>
                <w:rFonts w:eastAsia="宋体"/>
              </w:rPr>
            </w:pPr>
            <w:r>
              <w:rPr>
                <w:szCs w:val="20"/>
              </w:rPr>
              <w:t xml:space="preserve">FFS: When current beam is reported, whether the current beam is counted in the N reported beams.  </w:t>
            </w:r>
          </w:p>
          <w:p>
            <w:pPr>
              <w:numPr>
                <w:ilvl w:val="0"/>
                <w:numId w:val="9"/>
              </w:numPr>
              <w:snapToGrid w:val="0"/>
              <w:spacing w:before="72" w:beforeLines="30" w:after="72" w:afterLines="30" w:line="288" w:lineRule="auto"/>
              <w:jc w:val="both"/>
              <w:rPr>
                <w:rFonts w:eastAsia="宋体"/>
              </w:rPr>
            </w:pPr>
            <w:r>
              <w:rPr>
                <w:szCs w:val="20"/>
              </w:rPr>
              <w:t>The selected option shall satisfy Event-2.</w:t>
            </w:r>
          </w:p>
        </w:tc>
      </w:tr>
    </w:tbl>
    <w:p>
      <w:pPr>
        <w:snapToGrid w:val="0"/>
        <w:spacing w:before="72" w:beforeLines="30" w:after="72" w:afterLines="30" w:line="288" w:lineRule="auto"/>
        <w:jc w:val="both"/>
        <w:rPr>
          <w:rFonts w:eastAsia="宋体"/>
        </w:rPr>
      </w:pPr>
      <w:r>
        <w:rPr>
          <w:rFonts w:hint="eastAsia" w:eastAsia="宋体"/>
        </w:rPr>
        <w:t>Regarding the signaling contents for UE-initiated beam reporting, the legacy CSI reporting for beam reporting can be considered as a starting point (see the following excerpt</w:t>
      </w:r>
      <w:r>
        <w:rPr>
          <w:rFonts w:eastAsia="宋体"/>
        </w:rPr>
        <w:t>s</w:t>
      </w:r>
      <w:r>
        <w:rPr>
          <w:rFonts w:hint="eastAsia" w:eastAsia="宋体"/>
        </w:rPr>
        <w:t xml:space="preserve"> in TS 38.212).</w:t>
      </w:r>
    </w:p>
    <w:p>
      <w:pPr>
        <w:numPr>
          <w:ilvl w:val="0"/>
          <w:numId w:val="13"/>
        </w:numPr>
        <w:snapToGrid w:val="0"/>
        <w:spacing w:before="72" w:beforeLines="30" w:after="72" w:afterLines="30" w:line="288" w:lineRule="auto"/>
        <w:jc w:val="both"/>
        <w:rPr>
          <w:rFonts w:eastAsia="宋体"/>
        </w:rPr>
      </w:pPr>
      <w:r>
        <w:rPr>
          <w:rFonts w:eastAsia="宋体"/>
          <w:b/>
          <w:bCs/>
        </w:rPr>
        <w:t>TS 38.212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tabs>
                <w:tab w:val="left" w:pos="851"/>
                <w:tab w:val="clear" w:pos="432"/>
                <w:tab w:val="clear" w:pos="720"/>
              </w:tabs>
              <w:spacing w:before="72" w:beforeLines="30" w:after="72" w:afterLines="30" w:line="288" w:lineRule="auto"/>
              <w:rPr>
                <w:b w:val="0"/>
                <w:bCs w:val="0"/>
              </w:rPr>
            </w:pPr>
            <w:r>
              <w:rPr>
                <w:rFonts w:hint="eastAsia"/>
                <w:b w:val="0"/>
                <w:bCs w:val="0"/>
              </w:rPr>
              <w:t>6.3.1.1</w:t>
            </w:r>
            <w:r>
              <w:rPr>
                <w:rFonts w:hint="eastAsia"/>
                <w:b w:val="0"/>
                <w:bCs w:val="0"/>
              </w:rPr>
              <w:tab/>
            </w:r>
            <w:r>
              <w:rPr>
                <w:rFonts w:hint="eastAsia"/>
                <w:b w:val="0"/>
                <w:bCs w:val="0"/>
              </w:rPr>
              <w:t>UCI bit sequence generation</w:t>
            </w:r>
          </w:p>
          <w:p>
            <w:pPr>
              <w:pStyle w:val="6"/>
              <w:numPr>
                <w:ilvl w:val="4"/>
                <w:numId w:val="0"/>
              </w:numPr>
              <w:tabs>
                <w:tab w:val="left" w:pos="851"/>
              </w:tabs>
              <w:spacing w:before="72" w:beforeLines="30" w:after="72" w:afterLines="30" w:line="288" w:lineRule="auto"/>
              <w:rPr>
                <w:rFonts w:hint="default" w:ascii="Arial" w:hAnsi="Arial" w:cs="Arial"/>
                <w:b w:val="0"/>
                <w:bCs w:val="0"/>
                <w:color w:val="auto"/>
                <w:sz w:val="22"/>
                <w:szCs w:val="18"/>
              </w:rPr>
            </w:pPr>
            <w:r>
              <w:rPr>
                <w:rFonts w:hint="default" w:ascii="Arial" w:hAnsi="Arial" w:cs="Arial"/>
                <w:b w:val="0"/>
                <w:bCs w:val="0"/>
                <w:color w:val="auto"/>
                <w:sz w:val="22"/>
                <w:szCs w:val="18"/>
              </w:rPr>
              <w:t>6.3.1.1.2</w:t>
            </w:r>
            <w:r>
              <w:rPr>
                <w:rFonts w:hint="default" w:ascii="Arial" w:hAnsi="Arial" w:cs="Arial"/>
                <w:b w:val="0"/>
                <w:bCs w:val="0"/>
                <w:color w:val="auto"/>
                <w:sz w:val="22"/>
                <w:szCs w:val="18"/>
              </w:rPr>
              <w:tab/>
            </w:r>
            <w:r>
              <w:rPr>
                <w:rFonts w:hint="default" w:ascii="Arial" w:hAnsi="Arial" w:cs="Arial"/>
                <w:b w:val="0"/>
                <w:bCs w:val="0"/>
                <w:color w:val="auto"/>
                <w:sz w:val="22"/>
                <w:szCs w:val="18"/>
              </w:rPr>
              <w:t>CSI only</w:t>
            </w:r>
          </w:p>
          <w:p>
            <w:pPr>
              <w:spacing w:before="72" w:beforeLines="30" w:after="72" w:afterLines="30" w:line="288" w:lineRule="auto"/>
              <w:jc w:val="center"/>
            </w:pPr>
            <w:r>
              <w:rPr>
                <w:color w:val="FF0000"/>
              </w:rPr>
              <w:t>&lt;Irrelevant parts are omitted&gt;</w:t>
            </w:r>
          </w:p>
          <w:p>
            <w:pPr>
              <w:spacing w:before="72" w:beforeLines="30" w:after="72" w:afterLines="30" w:line="288" w:lineRule="auto"/>
              <w:jc w:val="both"/>
            </w:pPr>
            <w:r>
              <w:t xml:space="preserve">The bitwidth </w:t>
            </w:r>
            <w:r>
              <w:rPr>
                <w:rFonts w:hint="eastAsia"/>
              </w:rPr>
              <w:t>for</w:t>
            </w:r>
            <w:r>
              <w:t xml:space="preserve"> CRI</w:t>
            </w:r>
            <w:r>
              <w:rPr>
                <w:rFonts w:hint="eastAsia"/>
              </w:rPr>
              <w:t>, SSBRI, RSRP, differential RSRP</w:t>
            </w:r>
            <w:r>
              <w:t xml:space="preserve">, and </w:t>
            </w:r>
            <w:r>
              <w:rPr>
                <w:rFonts w:ascii="Arial" w:hAnsi="Arial"/>
                <w:sz w:val="18"/>
              </w:rPr>
              <w:t>CapabilityIndex</w:t>
            </w:r>
            <w:r>
              <w:rPr>
                <w:rFonts w:hint="eastAsia"/>
              </w:rPr>
              <w:t xml:space="preserve"> are provided in Table 6.3.1.1.2-6.</w:t>
            </w:r>
          </w:p>
          <w:p>
            <w:pPr>
              <w:pStyle w:val="40"/>
              <w:spacing w:before="72" w:beforeLines="30" w:after="72" w:afterLines="30" w:line="288" w:lineRule="auto"/>
              <w:rPr>
                <w:lang w:eastAsia="zh-CN"/>
              </w:rPr>
            </w:pPr>
            <w:r>
              <w:t xml:space="preserve">Table </w:t>
            </w:r>
            <w:r>
              <w:rPr>
                <w:rFonts w:hint="eastAsia"/>
                <w:lang w:eastAsia="zh-CN"/>
              </w:rPr>
              <w:t>6.3.1.1.2-6</w:t>
            </w:r>
            <w:r>
              <w:t>:</w:t>
            </w:r>
            <w:r>
              <w:rPr>
                <w:rFonts w:hint="eastAsia"/>
                <w:lang w:eastAsia="zh-CN"/>
              </w:rPr>
              <w:t xml:space="preserve"> CRI, </w:t>
            </w:r>
            <w:r>
              <w:rPr>
                <w:lang w:eastAsia="zh-CN"/>
              </w:rPr>
              <w:t>SSBRI</w:t>
            </w:r>
            <w:r>
              <w:rPr>
                <w:rFonts w:hint="eastAsia"/>
                <w:lang w:eastAsia="zh-CN"/>
              </w:rPr>
              <w:t>, RSRP</w:t>
            </w:r>
            <w:r>
              <w:rPr>
                <w:lang w:eastAsia="zh-CN"/>
              </w:rPr>
              <w:t>, and CapabilityIndex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59"/>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shd w:val="clear" w:color="auto" w:fill="E0E0E0"/>
                  <w:vAlign w:val="center"/>
                </w:tcPr>
                <w:p>
                  <w:pPr>
                    <w:pStyle w:val="63"/>
                    <w:spacing w:before="72" w:beforeLines="30" w:after="72" w:afterLines="30" w:line="288" w:lineRule="auto"/>
                  </w:pPr>
                  <w:r>
                    <w:t>Field</w:t>
                  </w:r>
                </w:p>
              </w:tc>
              <w:tc>
                <w:tcPr>
                  <w:tcW w:w="2456" w:type="dxa"/>
                  <w:shd w:val="clear" w:color="auto" w:fill="E0E0E0"/>
                  <w:vAlign w:val="center"/>
                </w:tcPr>
                <w:p>
                  <w:pPr>
                    <w:pStyle w:val="63"/>
                    <w:spacing w:before="72" w:beforeLines="30" w:after="72" w:afterLines="30" w:line="288" w:lineRule="auto"/>
                  </w:pPr>
                  <w: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rFonts w:hint="eastAsia"/>
                      <w:lang w:eastAsia="zh-CN"/>
                    </w:rPr>
                    <w:t>CRI</w:t>
                  </w:r>
                </w:p>
              </w:tc>
              <w:tc>
                <w:tcPr>
                  <w:tcW w:w="2456" w:type="dxa"/>
                  <w:vAlign w:val="center"/>
                </w:tcPr>
                <w:p>
                  <w:pPr>
                    <w:pStyle w:val="42"/>
                    <w:spacing w:before="72" w:beforeLines="30" w:after="72" w:afterLines="30" w:line="288" w:lineRule="auto"/>
                    <w:rPr>
                      <w:lang w:eastAsia="zh-CN"/>
                    </w:rPr>
                  </w:pPr>
                  <w:r>
                    <w:rPr>
                      <w:position w:val="-12"/>
                      <w:sz w:val="11"/>
                      <w:lang w:eastAsia="zh-CN"/>
                    </w:rPr>
                    <w:object>
                      <v:shape id="_x0000_i1033" o:spt="75" type="#_x0000_t75" style="height:19.5pt;width:64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27" r:id="rId1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lang w:eastAsia="zh-CN"/>
                    </w:rPr>
                    <w:t>SSBRI</w:t>
                  </w:r>
                </w:p>
              </w:tc>
              <w:tc>
                <w:tcPr>
                  <w:tcW w:w="2456" w:type="dxa"/>
                  <w:vAlign w:val="center"/>
                </w:tcPr>
                <w:p>
                  <w:pPr>
                    <w:pStyle w:val="42"/>
                    <w:spacing w:before="72" w:beforeLines="30" w:after="72" w:afterLines="30" w:line="288" w:lineRule="auto"/>
                    <w:rPr>
                      <w:lang w:eastAsia="zh-CN"/>
                    </w:rPr>
                  </w:pPr>
                  <w:r>
                    <w:rPr>
                      <w:position w:val="-12"/>
                      <w:lang w:eastAsia="zh-CN"/>
                    </w:rPr>
                    <w:object>
                      <v:shape id="_x0000_i1034" o:spt="75" type="#_x0000_t75" style="height:19.5pt;width:52.5pt;" o:ole="t" filled="f" o:preferrelative="t" stroked="f" coordsize="21600,21600">
                        <v:path/>
                        <v:fill on="f" focussize="0,0"/>
                        <v:stroke on="f" joinstyle="miter"/>
                        <v:imagedata r:id="rId14" o:title=""/>
                        <o:lock v:ext="edit" aspectratio="t"/>
                        <w10:wrap type="none"/>
                        <w10:anchorlock/>
                      </v:shape>
                      <o:OLEObject Type="Embed" ProgID="Equation.3" ShapeID="_x0000_i1034" DrawAspect="Content" ObjectID="_1468075728" r:id="rId1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rFonts w:hint="eastAsia"/>
                      <w:lang w:eastAsia="zh-CN"/>
                    </w:rPr>
                    <w:t>RSRP</w:t>
                  </w:r>
                </w:p>
              </w:tc>
              <w:tc>
                <w:tcPr>
                  <w:tcW w:w="2456" w:type="dxa"/>
                  <w:vAlign w:val="center"/>
                </w:tcPr>
                <w:p>
                  <w:pPr>
                    <w:pStyle w:val="42"/>
                    <w:spacing w:before="72" w:beforeLines="30" w:after="72" w:afterLines="30" w:line="288" w:lineRule="auto"/>
                    <w:rPr>
                      <w:lang w:eastAsia="zh-CN"/>
                    </w:rPr>
                  </w:pP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rFonts w:hint="eastAsia"/>
                      <w:lang w:eastAsia="zh-CN"/>
                    </w:rPr>
                    <w:t>Differential RSRP</w:t>
                  </w:r>
                </w:p>
              </w:tc>
              <w:tc>
                <w:tcPr>
                  <w:tcW w:w="2456" w:type="dxa"/>
                  <w:vAlign w:val="center"/>
                </w:tcPr>
                <w:p>
                  <w:pPr>
                    <w:pStyle w:val="42"/>
                    <w:spacing w:before="72" w:beforeLines="30" w:after="72" w:afterLines="30" w:line="288" w:lineRule="auto"/>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tcBorders>
                    <w:top w:val="single" w:color="auto" w:sz="4" w:space="0"/>
                    <w:left w:val="single" w:color="auto" w:sz="4" w:space="0"/>
                    <w:bottom w:val="single" w:color="auto" w:sz="4" w:space="0"/>
                    <w:right w:val="single" w:color="auto" w:sz="4" w:space="0"/>
                  </w:tcBorders>
                  <w:vAlign w:val="center"/>
                </w:tcPr>
                <w:p>
                  <w:pPr>
                    <w:pStyle w:val="42"/>
                    <w:spacing w:before="72" w:beforeLines="30" w:after="72" w:afterLines="30" w:line="288" w:lineRule="auto"/>
                    <w:rPr>
                      <w:lang w:eastAsia="zh-CN"/>
                    </w:rPr>
                  </w:pPr>
                  <w:r>
                    <w:rPr>
                      <w:lang w:eastAsia="zh-CN"/>
                    </w:rPr>
                    <w:t>CapabilityIndex</w:t>
                  </w:r>
                </w:p>
              </w:tc>
              <w:tc>
                <w:tcPr>
                  <w:tcW w:w="2456" w:type="dxa"/>
                  <w:tcBorders>
                    <w:top w:val="single" w:color="auto" w:sz="4" w:space="0"/>
                    <w:left w:val="single" w:color="auto" w:sz="4" w:space="0"/>
                    <w:bottom w:val="single" w:color="auto" w:sz="4" w:space="0"/>
                    <w:right w:val="single" w:color="auto" w:sz="4" w:space="0"/>
                  </w:tcBorders>
                  <w:vAlign w:val="center"/>
                </w:tcPr>
                <w:p>
                  <w:pPr>
                    <w:pStyle w:val="42"/>
                    <w:spacing w:before="72" w:beforeLines="30" w:after="72" w:afterLines="30" w:line="288" w:lineRule="auto"/>
                    <w:rPr>
                      <w:lang w:eastAsia="zh-CN"/>
                    </w:rPr>
                  </w:pPr>
                  <w:r>
                    <w:rPr>
                      <w:lang w:eastAsia="zh-CN"/>
                    </w:rPr>
                    <w:t>2</w:t>
                  </w:r>
                </w:p>
              </w:tc>
            </w:tr>
          </w:tbl>
          <w:p>
            <w:pPr>
              <w:spacing w:before="72" w:beforeLines="30" w:after="72" w:afterLines="30" w:line="288" w:lineRule="auto"/>
              <w:jc w:val="both"/>
            </w:pPr>
            <w:r>
              <w:rPr>
                <w:rFonts w:hint="eastAsia"/>
              </w:rPr>
              <w:t xml:space="preserve">where </w:t>
            </w:r>
            <w:r>
              <w:rPr>
                <w:position w:val="-12"/>
              </w:rPr>
              <w:object>
                <v:shape id="_x0000_i1035" o:spt="75" type="#_x0000_t75" style="height:19.5pt;width:37.5pt;" o:ole="t" filled="f" o:preferrelative="t" stroked="f" coordsize="21600,21600">
                  <v:path/>
                  <v:fill on="f" focussize="0,0"/>
                  <v:stroke on="f" joinstyle="miter"/>
                  <v:imagedata r:id="rId16" o:title=""/>
                  <o:lock v:ext="edit" aspectratio="t"/>
                  <w10:wrap type="none"/>
                  <w10:anchorlock/>
                </v:shape>
                <o:OLEObject Type="Embed" ProgID="Equation.3" ShapeID="_x0000_i1035" DrawAspect="Content" ObjectID="_1468075729" r:id="rId15">
                  <o:LockedField>false</o:LockedField>
                </o:OLEObject>
              </w:object>
            </w:r>
            <w:r>
              <w:rPr>
                <w:rFonts w:hint="eastAsia"/>
              </w:rPr>
              <w:t xml:space="preserve"> is the </w:t>
            </w:r>
            <w:r>
              <w:t xml:space="preserve">number of CSI-RS resources in </w:t>
            </w:r>
            <w:r>
              <w:rPr>
                <w:rFonts w:hint="eastAsia"/>
              </w:rPr>
              <w:t>the</w:t>
            </w:r>
            <w:r>
              <w:t xml:space="preserve"> </w:t>
            </w:r>
            <w:r>
              <w:rPr>
                <w:rFonts w:hint="eastAsia"/>
              </w:rPr>
              <w:t xml:space="preserve">corresponding resource set, and </w:t>
            </w:r>
            <w:r>
              <w:rPr>
                <w:position w:val="-12"/>
              </w:rPr>
              <w:object>
                <v:shape id="_x0000_i1036" o:spt="75" type="#_x0000_t75" style="height:19.5pt;width:27.5pt;" o:ole="t" filled="f" o:preferrelative="t" stroked="f" coordsize="21600,21600">
                  <v:path/>
                  <v:fill on="f" focussize="0,0"/>
                  <v:stroke on="f" joinstyle="miter"/>
                  <v:imagedata r:id="rId18" o:title=""/>
                  <o:lock v:ext="edit" aspectratio="t"/>
                  <w10:wrap type="none"/>
                  <w10:anchorlock/>
                </v:shape>
                <o:OLEObject Type="Embed" ProgID="Equation.3" ShapeID="_x0000_i1036" DrawAspect="Content" ObjectID="_1468075730" r:id="rId17">
                  <o:LockedField>false</o:LockedField>
                </o:OLEObject>
              </w:object>
            </w:r>
            <w:r>
              <w:rPr>
                <w:rFonts w:hint="eastAsia"/>
              </w:rPr>
              <w:t xml:space="preserve"> is the configured number of SS/PBCH blocks </w:t>
            </w:r>
            <w:r>
              <w:t>in the corresponding</w:t>
            </w:r>
            <w:r>
              <w:rPr>
                <w:rFonts w:hint="eastAsia"/>
              </w:rPr>
              <w:t xml:space="preserve"> </w:t>
            </w:r>
            <w:r>
              <w:t>resource set</w:t>
            </w:r>
            <w:r>
              <w:rPr>
                <w:rFonts w:hint="eastAsia"/>
              </w:rPr>
              <w:t xml:space="preserve"> for reporting </w:t>
            </w:r>
            <w:r>
              <w:t>'</w:t>
            </w:r>
            <w:r>
              <w:rPr>
                <w:rFonts w:hint="eastAsia"/>
              </w:rPr>
              <w:t>ssb-Index-RSRP</w:t>
            </w:r>
            <w:r>
              <w:t>'</w:t>
            </w:r>
            <w:r>
              <w:rPr>
                <w:rFonts w:hint="eastAsia"/>
              </w:rPr>
              <w:t>.</w:t>
            </w:r>
          </w:p>
          <w:p>
            <w:pPr>
              <w:spacing w:before="72" w:beforeLines="30" w:after="72" w:afterLines="30" w:line="288" w:lineRule="auto"/>
              <w:jc w:val="center"/>
            </w:pPr>
            <w:r>
              <w:rPr>
                <w:color w:val="FF0000"/>
              </w:rPr>
              <w:t>&lt;Irrelevant parts are omitted&gt;</w:t>
            </w:r>
          </w:p>
        </w:tc>
      </w:tr>
    </w:tbl>
    <w:p>
      <w:pPr>
        <w:snapToGrid w:val="0"/>
        <w:spacing w:before="72" w:beforeLines="30" w:after="72" w:afterLines="30" w:line="288" w:lineRule="auto"/>
        <w:jc w:val="both"/>
        <w:rPr>
          <w:rFonts w:eastAsia="宋体"/>
        </w:rPr>
      </w:pPr>
      <w:r>
        <w:rPr>
          <w:rFonts w:hint="eastAsia" w:eastAsia="宋体"/>
        </w:rPr>
        <w:t>Since only Event-2 is supported, the signaling contents of UEIBR once Event-2 is detected are analyzed as follows.</w:t>
      </w:r>
    </w:p>
    <w:p>
      <w:pPr>
        <w:snapToGrid w:val="0"/>
        <w:spacing w:before="72" w:beforeLines="30" w:after="72" w:afterLines="30" w:line="288" w:lineRule="auto"/>
        <w:jc w:val="both"/>
        <w:rPr>
          <w:rFonts w:eastAsia="宋体"/>
          <w:b/>
          <w:bCs/>
          <w:u w:val="single"/>
        </w:rPr>
      </w:pPr>
      <w:r>
        <w:rPr>
          <w:rFonts w:hint="eastAsia" w:eastAsia="宋体"/>
          <w:b/>
          <w:bCs/>
          <w:u w:val="single"/>
        </w:rPr>
        <w:t xml:space="preserve">Reporting of the </w:t>
      </w:r>
      <w:r>
        <w:rPr>
          <w:rFonts w:eastAsia="宋体"/>
          <w:b/>
          <w:bCs/>
          <w:u w:val="single"/>
        </w:rPr>
        <w:t>current beam</w:t>
      </w:r>
    </w:p>
    <w:p>
      <w:pPr>
        <w:numPr>
          <w:ilvl w:val="1"/>
          <w:numId w:val="10"/>
        </w:numPr>
        <w:snapToGrid w:val="0"/>
        <w:spacing w:before="72" w:beforeLines="30" w:after="72" w:afterLines="30" w:line="288" w:lineRule="auto"/>
        <w:jc w:val="both"/>
        <w:rPr>
          <w:rFonts w:eastAsia="宋体"/>
        </w:rPr>
      </w:pPr>
      <w:r>
        <w:rPr>
          <w:rFonts w:hint="eastAsia"/>
          <w:szCs w:val="20"/>
        </w:rPr>
        <w:t>Although some new beams better than the current beams can be reported, it does not mean that the current beam is so worse that it cannot be used for transmissions. For instance, it can be still good enough to be an activated TCI state. Therefore, reporting quality, i.e., L1-RSRP, of the current beam is valuable, and w</w:t>
      </w:r>
      <w:r>
        <w:rPr>
          <w:szCs w:val="20"/>
        </w:rPr>
        <w:t xml:space="preserve">hether the measurement result for current beam is reported or </w:t>
      </w:r>
      <w:r>
        <w:rPr>
          <w:rFonts w:hint="eastAsia"/>
          <w:szCs w:val="20"/>
        </w:rPr>
        <w:t xml:space="preserve">not </w:t>
      </w:r>
      <w:r>
        <w:rPr>
          <w:szCs w:val="20"/>
        </w:rPr>
        <w:t>can be enabled by RRC</w:t>
      </w:r>
      <w:r>
        <w:rPr>
          <w:rFonts w:hint="eastAsia"/>
          <w:szCs w:val="20"/>
        </w:rPr>
        <w:t>.</w:t>
      </w:r>
    </w:p>
    <w:p>
      <w:pPr>
        <w:numPr>
          <w:ilvl w:val="1"/>
          <w:numId w:val="10"/>
        </w:numPr>
        <w:snapToGrid w:val="0"/>
        <w:spacing w:before="72" w:beforeLines="30" w:after="72" w:afterLines="30" w:line="288" w:lineRule="auto"/>
        <w:jc w:val="both"/>
        <w:rPr>
          <w:rFonts w:eastAsia="宋体"/>
          <w:b/>
          <w:bCs/>
          <w:u w:val="single"/>
        </w:rPr>
      </w:pPr>
      <w:r>
        <w:rPr>
          <w:rFonts w:hint="eastAsia" w:eastAsia="宋体"/>
        </w:rPr>
        <w:t>As for whether or not to count the current beam in the number of reported beams, it should be decided after down-selection of the options with regard to the number of reported beams. To take Option-1 as an example, all the N reported beams should satisfy the condition of Event-2, therefore it is reasonable not to count the current beam into N. But actually, there is minor difference for the two methods.</w:t>
      </w:r>
    </w:p>
    <w:p>
      <w:pPr>
        <w:snapToGrid w:val="0"/>
        <w:spacing w:before="72" w:beforeLines="30" w:after="72" w:afterLines="30" w:line="288" w:lineRule="auto"/>
        <w:jc w:val="both"/>
        <w:rPr>
          <w:rFonts w:eastAsia="宋体"/>
          <w:b/>
          <w:bCs/>
          <w:u w:val="single"/>
        </w:rPr>
      </w:pPr>
      <w:r>
        <w:rPr>
          <w:rFonts w:cs="Times"/>
          <w:b/>
          <w:bCs/>
          <w:color w:val="000000"/>
          <w:szCs w:val="20"/>
          <w:u w:val="single"/>
        </w:rPr>
        <w:t>DL RS resource indicator</w:t>
      </w:r>
    </w:p>
    <w:p>
      <w:pPr>
        <w:numPr>
          <w:ilvl w:val="1"/>
          <w:numId w:val="10"/>
        </w:numPr>
        <w:snapToGrid w:val="0"/>
        <w:spacing w:before="72" w:beforeLines="30" w:after="72" w:afterLines="30" w:line="288" w:lineRule="auto"/>
        <w:jc w:val="both"/>
        <w:rPr>
          <w:rFonts w:eastAsia="宋体"/>
        </w:rPr>
      </w:pPr>
      <w:r>
        <w:rPr>
          <w:rFonts w:hint="eastAsia" w:eastAsia="宋体"/>
        </w:rPr>
        <w:t>CRI or SSBRI can be reported as legacy.</w:t>
      </w:r>
    </w:p>
    <w:p>
      <w:pPr>
        <w:numPr>
          <w:ilvl w:val="1"/>
          <w:numId w:val="10"/>
        </w:numPr>
        <w:snapToGrid w:val="0"/>
        <w:spacing w:before="72" w:beforeLines="30" w:after="72" w:afterLines="30" w:line="288" w:lineRule="auto"/>
        <w:jc w:val="both"/>
        <w:rPr>
          <w:rFonts w:eastAsia="宋体"/>
        </w:rPr>
      </w:pPr>
      <w:r>
        <w:rPr>
          <w:rFonts w:hint="eastAsia" w:eastAsia="宋体"/>
        </w:rPr>
        <w:t>CRI or SSBRI corresponds to the new beams are reported.</w:t>
      </w:r>
    </w:p>
    <w:p>
      <w:pPr>
        <w:numPr>
          <w:ilvl w:val="1"/>
          <w:numId w:val="10"/>
        </w:numPr>
        <w:snapToGrid w:val="0"/>
        <w:spacing w:before="72" w:beforeLines="30" w:after="72" w:afterLines="30" w:line="288" w:lineRule="auto"/>
        <w:jc w:val="both"/>
        <w:rPr>
          <w:rFonts w:eastAsia="宋体"/>
        </w:rPr>
      </w:pPr>
      <w:r>
        <w:rPr>
          <w:rFonts w:hint="eastAsia" w:eastAsia="宋体"/>
        </w:rPr>
        <w:t>Since the current beam is not explicitly configured, the corresponding RS cannot be indicated by CRI/SSBRI explicitly, hence this field can be not needed for current beam.</w:t>
      </w:r>
    </w:p>
    <w:p>
      <w:pPr>
        <w:snapToGrid w:val="0"/>
        <w:spacing w:before="72" w:beforeLines="30" w:after="72" w:afterLines="30" w:line="288" w:lineRule="auto"/>
        <w:jc w:val="both"/>
        <w:rPr>
          <w:rFonts w:eastAsia="宋体"/>
          <w:b/>
          <w:bCs/>
          <w:u w:val="single"/>
        </w:rPr>
      </w:pPr>
      <w:r>
        <w:rPr>
          <w:rFonts w:hint="eastAsia" w:eastAsia="宋体"/>
          <w:b/>
          <w:bCs/>
          <w:u w:val="single"/>
        </w:rPr>
        <w:t>L1-RSRP</w:t>
      </w:r>
    </w:p>
    <w:p>
      <w:pPr>
        <w:numPr>
          <w:ilvl w:val="1"/>
          <w:numId w:val="10"/>
        </w:numPr>
        <w:snapToGrid w:val="0"/>
        <w:spacing w:before="72" w:beforeLines="30" w:after="72" w:afterLines="30" w:line="288" w:lineRule="auto"/>
        <w:jc w:val="both"/>
        <w:rPr>
          <w:rFonts w:eastAsia="宋体"/>
        </w:rPr>
      </w:pPr>
      <w:r>
        <w:rPr>
          <w:rFonts w:hint="eastAsia" w:eastAsia="宋体"/>
        </w:rPr>
        <w:t>If absolute L1-RSRP value of a DL RS is indicated, 7 bits are needed.</w:t>
      </w:r>
    </w:p>
    <w:p>
      <w:pPr>
        <w:numPr>
          <w:ilvl w:val="1"/>
          <w:numId w:val="10"/>
        </w:numPr>
        <w:snapToGrid w:val="0"/>
        <w:spacing w:before="72" w:beforeLines="30" w:after="72" w:afterLines="30" w:line="288" w:lineRule="auto"/>
        <w:jc w:val="both"/>
        <w:rPr>
          <w:rFonts w:eastAsia="宋体"/>
        </w:rPr>
      </w:pPr>
      <w:r>
        <w:rPr>
          <w:rFonts w:hint="eastAsia" w:eastAsia="宋体"/>
        </w:rPr>
        <w:t xml:space="preserve">If differential L1-RSRP value of a DL RS is indicated, 4 bits are needed. </w:t>
      </w:r>
    </w:p>
    <w:p>
      <w:pPr>
        <w:numPr>
          <w:ilvl w:val="1"/>
          <w:numId w:val="10"/>
        </w:numPr>
        <w:snapToGrid w:val="0"/>
        <w:spacing w:before="72" w:beforeLines="30" w:after="72" w:afterLines="30" w:line="288" w:lineRule="auto"/>
        <w:jc w:val="both"/>
        <w:rPr>
          <w:rFonts w:eastAsia="宋体"/>
        </w:rPr>
      </w:pPr>
      <w:r>
        <w:rPr>
          <w:rFonts w:hint="eastAsia" w:eastAsia="宋体"/>
        </w:rPr>
        <w:t>If differential reporting is supported for the sake of report overhead reduction, determination of beam/RS corresponding to the absolute L1-RSRP indication should be discussed.</w:t>
      </w:r>
    </w:p>
    <w:p>
      <w:pPr>
        <w:numPr>
          <w:ilvl w:val="1"/>
          <w:numId w:val="10"/>
        </w:numPr>
        <w:snapToGrid w:val="0"/>
        <w:spacing w:before="72" w:beforeLines="30" w:after="72" w:afterLines="30" w:line="288" w:lineRule="auto"/>
        <w:jc w:val="both"/>
        <w:rPr>
          <w:rFonts w:eastAsia="宋体"/>
        </w:rPr>
      </w:pPr>
      <w:r>
        <w:rPr>
          <w:rFonts w:hint="eastAsia" w:eastAsia="宋体"/>
        </w:rPr>
        <w:t>If the highest L1-RSRP value is indicted by the absolute value, the new beam with the highest quality value can be indicated absolute value, and the other new beams and the current beam are indicated with differential values.</w:t>
      </w:r>
    </w:p>
    <w:p>
      <w:pPr>
        <w:numPr>
          <w:ilvl w:val="1"/>
          <w:numId w:val="10"/>
        </w:numPr>
        <w:snapToGrid w:val="0"/>
        <w:spacing w:before="72" w:beforeLines="30" w:after="72" w:afterLines="30" w:line="288" w:lineRule="auto"/>
        <w:jc w:val="both"/>
        <w:rPr>
          <w:rFonts w:eastAsia="宋体"/>
        </w:rPr>
      </w:pPr>
      <w:r>
        <w:rPr>
          <w:rFonts w:hint="eastAsia" w:eastAsia="宋体"/>
        </w:rPr>
        <w:t>If the lowest L1-RSRP value is indicted by the absolute value, for Option-1a and Option-3, the beam corresponding to the lowest L1-RSRP value is not fixed, therefore it might be complex to design the mapping of indication fields for UEIBR.</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Regarding UL signaling content(s) of UEIBR triggered by Event-2, the following indications should be considered:</w:t>
      </w:r>
    </w:p>
    <w:p>
      <w:pPr>
        <w:numPr>
          <w:ilvl w:val="0"/>
          <w:numId w:val="10"/>
        </w:numPr>
        <w:snapToGrid w:val="0"/>
        <w:spacing w:before="72" w:beforeLines="30" w:after="72" w:afterLines="30" w:line="288" w:lineRule="auto"/>
        <w:jc w:val="both"/>
        <w:rPr>
          <w:rFonts w:eastAsia="宋体"/>
          <w:i/>
          <w:iCs/>
        </w:rPr>
      </w:pPr>
      <w:r>
        <w:rPr>
          <w:rFonts w:hint="eastAsia" w:eastAsia="宋体"/>
          <w:i/>
          <w:iCs/>
        </w:rPr>
        <w:t>DL RS ID (e.g., CRI or SSBRI) of the new beam(s);</w:t>
      </w:r>
    </w:p>
    <w:p>
      <w:pPr>
        <w:numPr>
          <w:ilvl w:val="0"/>
          <w:numId w:val="10"/>
        </w:numPr>
        <w:snapToGrid w:val="0"/>
        <w:spacing w:before="72" w:beforeLines="30" w:after="72" w:afterLines="30" w:line="288" w:lineRule="auto"/>
        <w:jc w:val="both"/>
        <w:rPr>
          <w:rFonts w:eastAsia="宋体"/>
          <w:i/>
          <w:iCs/>
        </w:rPr>
      </w:pPr>
      <w:r>
        <w:rPr>
          <w:rFonts w:hint="eastAsia" w:eastAsia="宋体"/>
          <w:i/>
          <w:iCs/>
        </w:rPr>
        <w:t>RRC configures to report L1-RSRP of the current beam or not;</w:t>
      </w:r>
    </w:p>
    <w:p>
      <w:pPr>
        <w:numPr>
          <w:ilvl w:val="0"/>
          <w:numId w:val="10"/>
        </w:numPr>
        <w:snapToGrid w:val="0"/>
        <w:spacing w:before="72" w:beforeLines="30" w:after="72" w:afterLines="30" w:line="288" w:lineRule="auto"/>
        <w:jc w:val="both"/>
        <w:rPr>
          <w:rFonts w:eastAsia="宋体"/>
          <w:i/>
          <w:iCs/>
        </w:rPr>
      </w:pPr>
      <w:r>
        <w:rPr>
          <w:rFonts w:hint="eastAsia" w:eastAsia="宋体"/>
          <w:i/>
          <w:iCs/>
        </w:rPr>
        <w:t>Differential L1-RSRP reporting</w:t>
      </w:r>
    </w:p>
    <w:p>
      <w:pPr>
        <w:numPr>
          <w:ilvl w:val="1"/>
          <w:numId w:val="10"/>
        </w:numPr>
        <w:snapToGrid w:val="0"/>
        <w:spacing w:before="72" w:beforeLines="30" w:after="72" w:afterLines="30" w:line="288" w:lineRule="auto"/>
        <w:jc w:val="both"/>
        <w:rPr>
          <w:rFonts w:eastAsia="宋体"/>
          <w:i/>
          <w:iCs/>
        </w:rPr>
      </w:pPr>
      <w:r>
        <w:rPr>
          <w:rFonts w:hint="eastAsia" w:eastAsia="宋体"/>
          <w:i/>
          <w:iCs/>
        </w:rPr>
        <w:t>Absolute L1-RSRP value is for the new beam with the highest L1-RSRP value;</w:t>
      </w:r>
    </w:p>
    <w:p>
      <w:pPr>
        <w:numPr>
          <w:ilvl w:val="1"/>
          <w:numId w:val="10"/>
        </w:numPr>
        <w:snapToGrid w:val="0"/>
        <w:spacing w:before="72" w:beforeLines="30" w:after="72" w:afterLines="30" w:line="288" w:lineRule="auto"/>
        <w:jc w:val="both"/>
        <w:rPr>
          <w:rFonts w:eastAsia="宋体"/>
          <w:i/>
          <w:iCs/>
        </w:rPr>
      </w:pPr>
      <w:r>
        <w:rPr>
          <w:rFonts w:hint="eastAsia" w:eastAsia="宋体"/>
          <w:i/>
          <w:iCs/>
        </w:rPr>
        <w:t>Differential L1-RSRP value is for the other new beams and the current beam if reported;</w:t>
      </w:r>
    </w:p>
    <w:p>
      <w:pPr>
        <w:numPr>
          <w:ilvl w:val="0"/>
          <w:numId w:val="10"/>
        </w:numPr>
        <w:snapToGrid w:val="0"/>
        <w:spacing w:before="72" w:beforeLines="30" w:after="72" w:afterLines="30" w:line="288" w:lineRule="auto"/>
        <w:jc w:val="both"/>
        <w:rPr>
          <w:rFonts w:eastAsia="宋体"/>
        </w:rPr>
      </w:pPr>
      <w:r>
        <w:rPr>
          <w:rFonts w:hint="eastAsia" w:eastAsia="宋体"/>
          <w:i/>
          <w:iCs/>
        </w:rPr>
        <w:t>Note: To leverage legacy CSI framework as much as possible, Table 6.3.1.1.2-6 provided in TS 38.212 can be used as the starting point for details of the UL signaling contents (e.g., the field and bitwidth).</w:t>
      </w:r>
    </w:p>
    <w:p>
      <w:pPr>
        <w:snapToGrid w:val="0"/>
        <w:spacing w:before="72" w:beforeLines="30" w:after="72" w:afterLines="30" w:line="288" w:lineRule="auto"/>
        <w:jc w:val="both"/>
        <w:rPr>
          <w:rFonts w:eastAsia="宋体"/>
          <w:b/>
          <w:bCs/>
          <w:u w:val="single"/>
        </w:rPr>
      </w:pPr>
      <w:r>
        <w:rPr>
          <w:rFonts w:hint="eastAsia" w:eastAsia="宋体"/>
          <w:b/>
          <w:bCs/>
          <w:u w:val="single"/>
        </w:rPr>
        <w:t>The number of new beams to be reported</w:t>
      </w:r>
    </w:p>
    <w:p>
      <w:pPr>
        <w:numPr>
          <w:ilvl w:val="1"/>
          <w:numId w:val="10"/>
        </w:numPr>
        <w:snapToGrid w:val="0"/>
        <w:spacing w:before="72" w:beforeLines="30" w:after="72" w:afterLines="30" w:line="288" w:lineRule="auto"/>
        <w:jc w:val="both"/>
        <w:rPr>
          <w:rFonts w:eastAsia="宋体"/>
        </w:rPr>
      </w:pPr>
      <w:r>
        <w:rPr>
          <w:rFonts w:hint="eastAsia" w:eastAsia="宋体"/>
        </w:rPr>
        <w:t xml:space="preserve">The Options listed </w:t>
      </w:r>
      <w:r>
        <w:rPr>
          <w:rFonts w:eastAsia="宋体"/>
        </w:rPr>
        <w:t>above</w:t>
      </w:r>
      <w:r>
        <w:rPr>
          <w:rFonts w:hint="eastAsia" w:eastAsia="宋体"/>
        </w:rPr>
        <w:t xml:space="preserve"> can be divided into two categories, one is fixed size of beam report and another is variable size of beam report.</w:t>
      </w:r>
    </w:p>
    <w:p>
      <w:pPr>
        <w:numPr>
          <w:ilvl w:val="1"/>
          <w:numId w:val="10"/>
        </w:numPr>
        <w:snapToGrid w:val="0"/>
        <w:spacing w:before="72" w:beforeLines="30" w:after="72" w:afterLines="30" w:line="288" w:lineRule="auto"/>
        <w:jc w:val="both"/>
        <w:rPr>
          <w:rFonts w:eastAsia="宋体"/>
        </w:rPr>
      </w:pPr>
      <w:r>
        <w:rPr>
          <w:rFonts w:hint="eastAsia" w:eastAsia="宋体"/>
        </w:rPr>
        <w:t>Variable size of beam report</w:t>
      </w:r>
    </w:p>
    <w:p>
      <w:pPr>
        <w:numPr>
          <w:ilvl w:val="2"/>
          <w:numId w:val="10"/>
        </w:numPr>
        <w:snapToGrid w:val="0"/>
        <w:spacing w:before="72" w:beforeLines="30" w:after="72" w:afterLines="30" w:line="288" w:lineRule="auto"/>
        <w:jc w:val="both"/>
        <w:rPr>
          <w:rFonts w:eastAsia="宋体"/>
        </w:rPr>
      </w:pPr>
      <w:r>
        <w:rPr>
          <w:rFonts w:hint="eastAsia" w:eastAsia="宋体"/>
        </w:rPr>
        <w:t>Option-1 has an advantage of reducing payload size of beam report by assuming that quality of the new beams not fulfilling the trigger event is barely valuable to network decision on TCI state update.</w:t>
      </w:r>
    </w:p>
    <w:p>
      <w:pPr>
        <w:numPr>
          <w:ilvl w:val="2"/>
          <w:numId w:val="10"/>
        </w:numPr>
        <w:snapToGrid w:val="0"/>
        <w:spacing w:before="72" w:beforeLines="30" w:after="72" w:afterLines="30" w:line="288" w:lineRule="auto"/>
        <w:jc w:val="both"/>
        <w:rPr>
          <w:rFonts w:eastAsia="宋体"/>
        </w:rPr>
      </w:pPr>
      <w:r>
        <w:rPr>
          <w:rFonts w:hint="eastAsia" w:eastAsia="宋体"/>
        </w:rPr>
        <w:t xml:space="preserve">Compared with Option-1, Option-1a does not strictly request to only report the new beams which satisfy the condition of the trigger event, and similar as Option-3, beams not fulfilling the trigger event can be reported as well. </w:t>
      </w:r>
    </w:p>
    <w:p>
      <w:pPr>
        <w:numPr>
          <w:ilvl w:val="3"/>
          <w:numId w:val="10"/>
        </w:numPr>
        <w:tabs>
          <w:tab w:val="left" w:pos="1260"/>
        </w:tabs>
        <w:snapToGrid w:val="0"/>
        <w:spacing w:before="72" w:beforeLines="30" w:after="72" w:afterLines="30" w:line="288" w:lineRule="auto"/>
        <w:jc w:val="both"/>
        <w:rPr>
          <w:rFonts w:eastAsia="宋体"/>
        </w:rPr>
      </w:pPr>
      <w:r>
        <w:rPr>
          <w:rFonts w:hint="eastAsia" w:eastAsia="宋体"/>
        </w:rPr>
        <w:t>But, it is unclear how to determine the number of reported new beams in Option-1a if it does not depend on whether condition of the trigger event is satisfied or not. A better solution might be up to UE implementation to determine the number of reported RSs.</w:t>
      </w:r>
    </w:p>
    <w:p>
      <w:pPr>
        <w:numPr>
          <w:ilvl w:val="2"/>
          <w:numId w:val="10"/>
        </w:numPr>
        <w:snapToGrid w:val="0"/>
        <w:spacing w:before="72" w:beforeLines="30" w:after="72" w:afterLines="30" w:line="288" w:lineRule="auto"/>
        <w:jc w:val="both"/>
        <w:rPr>
          <w:rFonts w:eastAsia="宋体"/>
        </w:rPr>
      </w:pPr>
      <w:r>
        <w:rPr>
          <w:rFonts w:eastAsia="宋体"/>
        </w:rPr>
        <w:t>For e</w:t>
      </w:r>
      <w:r>
        <w:rPr>
          <w:rFonts w:hint="eastAsia" w:eastAsia="宋体"/>
        </w:rPr>
        <w:t xml:space="preserve">ither Option-1 </w:t>
      </w:r>
      <w:r>
        <w:rPr>
          <w:rFonts w:eastAsia="宋体"/>
        </w:rPr>
        <w:t xml:space="preserve">or </w:t>
      </w:r>
      <w:r>
        <w:rPr>
          <w:rFonts w:hint="eastAsia" w:eastAsia="宋体"/>
        </w:rPr>
        <w:t xml:space="preserve">Option-1a, an additional indication for the number of reported beams is required. For instance, if up to 4 beams can be reported, a two-bit indication </w:t>
      </w:r>
      <w:r>
        <w:rPr>
          <w:rFonts w:eastAsia="宋体"/>
        </w:rPr>
        <w:t>should</w:t>
      </w:r>
      <w:r>
        <w:rPr>
          <w:rFonts w:hint="eastAsia" w:eastAsia="宋体"/>
        </w:rPr>
        <w:t xml:space="preserve"> be introduced. </w:t>
      </w:r>
    </w:p>
    <w:p>
      <w:pPr>
        <w:numPr>
          <w:ilvl w:val="1"/>
          <w:numId w:val="10"/>
        </w:numPr>
        <w:snapToGrid w:val="0"/>
        <w:spacing w:before="72" w:beforeLines="30" w:after="72" w:afterLines="30" w:line="288" w:lineRule="auto"/>
        <w:jc w:val="both"/>
        <w:rPr>
          <w:rFonts w:eastAsia="宋体"/>
        </w:rPr>
      </w:pPr>
      <w:r>
        <w:rPr>
          <w:rFonts w:hint="eastAsia" w:eastAsia="宋体"/>
        </w:rPr>
        <w:t>Fixed size of beam report</w:t>
      </w:r>
    </w:p>
    <w:p>
      <w:pPr>
        <w:numPr>
          <w:ilvl w:val="2"/>
          <w:numId w:val="10"/>
        </w:numPr>
        <w:snapToGrid w:val="0"/>
        <w:spacing w:before="72" w:beforeLines="30" w:after="72" w:afterLines="30" w:line="288" w:lineRule="auto"/>
        <w:jc w:val="both"/>
        <w:rPr>
          <w:rFonts w:eastAsia="宋体"/>
        </w:rPr>
      </w:pPr>
      <w:r>
        <w:rPr>
          <w:rFonts w:hint="eastAsia" w:eastAsia="宋体"/>
        </w:rPr>
        <w:t>For Option-1b, the UCI payload is not saved, and it does not provide any additional information for new beams which do not fulfill the trigger event</w:t>
      </w:r>
      <w:r>
        <w:rPr>
          <w:rFonts w:eastAsia="宋体"/>
        </w:rPr>
        <w:t>,</w:t>
      </w:r>
      <w:r>
        <w:rPr>
          <w:rFonts w:hint="eastAsia" w:eastAsia="宋体"/>
        </w:rPr>
        <w:t xml:space="preserve"> </w:t>
      </w:r>
      <w:r>
        <w:rPr>
          <w:rFonts w:eastAsia="宋体"/>
        </w:rPr>
        <w:t xml:space="preserve">even </w:t>
      </w:r>
      <w:r>
        <w:rPr>
          <w:rFonts w:hint="eastAsia" w:eastAsia="宋体"/>
        </w:rPr>
        <w:t>though such additional information might could be useful to network for usages other than TCI state switch</w:t>
      </w:r>
      <w:r>
        <w:rPr>
          <w:rFonts w:eastAsia="宋体"/>
        </w:rPr>
        <w:t>ing</w:t>
      </w:r>
      <w:r>
        <w:rPr>
          <w:rFonts w:hint="eastAsia" w:eastAsia="宋体"/>
        </w:rPr>
        <w:t xml:space="preserve"> or update.</w:t>
      </w:r>
    </w:p>
    <w:p>
      <w:pPr>
        <w:numPr>
          <w:ilvl w:val="2"/>
          <w:numId w:val="10"/>
        </w:numPr>
        <w:snapToGrid w:val="0"/>
        <w:spacing w:before="72" w:beforeLines="30" w:after="72" w:afterLines="30" w:line="288" w:lineRule="auto"/>
        <w:jc w:val="both"/>
        <w:rPr>
          <w:rFonts w:eastAsia="宋体"/>
        </w:rPr>
      </w:pPr>
      <w:r>
        <w:rPr>
          <w:rFonts w:hint="eastAsia" w:eastAsia="宋体"/>
        </w:rPr>
        <w:t xml:space="preserve">For Option-2, when more than one new beam fulfill the trigger event, always reporting </w:t>
      </w:r>
      <w:r>
        <w:rPr>
          <w:rFonts w:eastAsia="宋体"/>
        </w:rPr>
        <w:t>one</w:t>
      </w:r>
      <w:r>
        <w:rPr>
          <w:rFonts w:hint="eastAsia" w:eastAsia="宋体"/>
        </w:rPr>
        <w:t xml:space="preserve"> new beam is not beneficial to </w:t>
      </w:r>
      <w:r>
        <w:rPr>
          <w:rFonts w:eastAsia="宋体"/>
        </w:rPr>
        <w:t>NW</w:t>
      </w:r>
      <w:r>
        <w:rPr>
          <w:rFonts w:hint="eastAsia" w:eastAsia="宋体"/>
        </w:rPr>
        <w:t xml:space="preserve"> scheduling. Normally, if a UE can report multiple new beams, network can determine to select one of the new beams to update TCI state of the UE. However, if only one new beam is reported, the corresponding beam report might be ignored by network</w:t>
      </w:r>
      <w:r>
        <w:rPr>
          <w:rFonts w:eastAsia="宋体"/>
        </w:rPr>
        <w:t xml:space="preserve"> if </w:t>
      </w:r>
      <w:r>
        <w:rPr>
          <w:rFonts w:hint="eastAsia" w:eastAsia="宋体"/>
        </w:rPr>
        <w:t>the new beam is not suitable to update the old TCI state for the reason of interference.</w:t>
      </w:r>
    </w:p>
    <w:p>
      <w:pPr>
        <w:numPr>
          <w:ilvl w:val="2"/>
          <w:numId w:val="10"/>
        </w:numPr>
        <w:snapToGrid w:val="0"/>
        <w:spacing w:before="72" w:beforeLines="30" w:after="72" w:afterLines="30" w:line="288" w:lineRule="auto"/>
        <w:jc w:val="both"/>
        <w:rPr>
          <w:rFonts w:eastAsia="宋体"/>
        </w:rPr>
      </w:pPr>
      <w:r>
        <w:rPr>
          <w:rFonts w:hint="eastAsia" w:eastAsia="宋体"/>
        </w:rPr>
        <w:t xml:space="preserve">Option 3 reuses the legacy CSI report framework, where the number of reported RSs is configurable, and the report size corresponding to a given report configuration is fixed. The report content design can be simple due to without introducing additional indication field for the number of reported RSs. In addition, when the number of new beams fulfilling the trigger event is less than the fixed number of reported RSs, reporting quality of the beams not fulfilling the trigger event might be valuable as well to </w:t>
      </w:r>
      <w:r>
        <w:rPr>
          <w:rFonts w:eastAsia="宋体"/>
        </w:rPr>
        <w:t>make</w:t>
      </w:r>
      <w:r>
        <w:rPr>
          <w:rFonts w:hint="eastAsia" w:eastAsia="宋体"/>
        </w:rPr>
        <w:t xml:space="preserve"> network realize the beam quality at UE side.</w:t>
      </w:r>
    </w:p>
    <w:p>
      <w:pPr>
        <w:snapToGrid w:val="0"/>
        <w:spacing w:before="72" w:beforeLines="30" w:after="72" w:afterLines="30" w:line="288" w:lineRule="auto"/>
        <w:jc w:val="both"/>
        <w:rPr>
          <w:i/>
          <w:iCs/>
          <w:szCs w:val="20"/>
        </w:rPr>
      </w:pPr>
      <w:r>
        <w:rPr>
          <w:rFonts w:hint="eastAsia"/>
          <w:b/>
          <w:bCs/>
          <w:i/>
          <w:iCs/>
          <w:szCs w:val="20"/>
        </w:rPr>
        <w:t>Proposal 6:</w:t>
      </w:r>
      <w:r>
        <w:rPr>
          <w:rFonts w:hint="eastAsia"/>
          <w:i/>
          <w:iCs/>
          <w:szCs w:val="20"/>
        </w:rPr>
        <w:t xml:space="preserve"> Regarding the number of reported beams in </w:t>
      </w:r>
      <w:r>
        <w:rPr>
          <w:i/>
          <w:iCs/>
          <w:szCs w:val="20"/>
        </w:rPr>
        <w:t xml:space="preserve">UL signaling content(s) of L1-RSRP report </w:t>
      </w:r>
      <w:r>
        <w:rPr>
          <w:rFonts w:hint="eastAsia"/>
          <w:i/>
          <w:iCs/>
          <w:szCs w:val="20"/>
        </w:rPr>
        <w:t>triggered by</w:t>
      </w:r>
      <w:r>
        <w:rPr>
          <w:i/>
          <w:iCs/>
          <w:szCs w:val="20"/>
        </w:rPr>
        <w:t xml:space="preserve"> Event-2</w:t>
      </w:r>
      <w:r>
        <w:rPr>
          <w:rFonts w:hint="eastAsia"/>
          <w:i/>
          <w:iCs/>
          <w:szCs w:val="20"/>
        </w:rPr>
        <w:t>, support to further discuss the following two options:</w:t>
      </w:r>
    </w:p>
    <w:p>
      <w:pPr>
        <w:numPr>
          <w:ilvl w:val="0"/>
          <w:numId w:val="10"/>
        </w:numPr>
        <w:snapToGrid w:val="0"/>
        <w:spacing w:before="72" w:beforeLines="30" w:after="72" w:afterLines="30" w:line="288" w:lineRule="auto"/>
        <w:jc w:val="both"/>
        <w:rPr>
          <w:rFonts w:eastAsia="宋体"/>
          <w:i/>
          <w:iCs/>
        </w:rPr>
      </w:pPr>
      <w:r>
        <w:rPr>
          <w:rFonts w:hint="eastAsia" w:eastAsia="宋体"/>
          <w:i/>
          <w:iCs/>
        </w:rPr>
        <w:t>Option-1 (variable size): N beam(s) are reported in the report instance, where N ∈ {1, 2, ..., N</w:t>
      </w:r>
      <w:r>
        <w:rPr>
          <w:rFonts w:hint="eastAsia" w:eastAsia="宋体"/>
          <w:i/>
          <w:iCs/>
          <w:vertAlign w:val="subscript"/>
        </w:rPr>
        <w:t>max</w:t>
      </w:r>
      <w:r>
        <w:rPr>
          <w:rFonts w:hint="eastAsia" w:eastAsia="宋体"/>
          <w:i/>
          <w:iCs/>
        </w:rPr>
        <w:t>} and the N beam(s) should satisfy the condition of Event-2.</w:t>
      </w:r>
    </w:p>
    <w:p>
      <w:pPr>
        <w:numPr>
          <w:ilvl w:val="1"/>
          <w:numId w:val="10"/>
        </w:numPr>
        <w:snapToGrid w:val="0"/>
        <w:spacing w:before="72" w:beforeLines="30" w:after="72" w:afterLines="30" w:line="288" w:lineRule="auto"/>
        <w:jc w:val="both"/>
        <w:rPr>
          <w:rFonts w:eastAsia="宋体"/>
          <w:i/>
          <w:iCs/>
        </w:rPr>
      </w:pPr>
      <w:r>
        <w:rPr>
          <w:rFonts w:hint="eastAsia" w:eastAsia="宋体"/>
          <w:i/>
          <w:iCs/>
        </w:rPr>
        <w:t>An indication of the number of reported beams is introduced.</w:t>
      </w:r>
    </w:p>
    <w:p>
      <w:pPr>
        <w:numPr>
          <w:ilvl w:val="0"/>
          <w:numId w:val="10"/>
        </w:numPr>
        <w:snapToGrid w:val="0"/>
        <w:spacing w:before="72" w:beforeLines="30" w:after="72" w:afterLines="30" w:line="288" w:lineRule="auto"/>
        <w:jc w:val="both"/>
        <w:rPr>
          <w:i/>
          <w:iCs/>
          <w:szCs w:val="20"/>
        </w:rPr>
      </w:pPr>
      <w:r>
        <w:rPr>
          <w:rFonts w:hint="eastAsia" w:eastAsia="宋体"/>
          <w:i/>
          <w:iCs/>
        </w:rPr>
        <w:t>Option-3 (fixed size): N ≥ 1 beam(s) are reported in the report instance, where N is configured by gNB.</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UL signaling container</w:t>
      </w:r>
    </w:p>
    <w:p>
      <w:pPr>
        <w:snapToGrid w:val="0"/>
        <w:spacing w:before="72" w:beforeLines="30" w:after="72" w:afterLines="30" w:line="288" w:lineRule="auto"/>
        <w:jc w:val="both"/>
        <w:rPr>
          <w:rFonts w:eastAsia="宋体"/>
          <w:b/>
          <w:sz w:val="28"/>
          <w:szCs w:val="28"/>
        </w:rPr>
      </w:pPr>
      <w:r>
        <w:rPr>
          <w:rFonts w:hint="eastAsia" w:eastAsia="宋体"/>
        </w:rPr>
        <w:t xml:space="preserve">In RAN1#116b meeting, the following agreement on beam report transmission procedure for UE-initiated/event-driven beam reporting was endorsed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05"/>
              <w:snapToGrid w:val="0"/>
              <w:spacing w:before="60" w:after="60" w:afterAutospacing="0" w:line="240" w:lineRule="auto"/>
              <w:ind w:firstLine="0"/>
              <w:rPr>
                <w:rFonts w:eastAsia="等线"/>
                <w:u w:val="single"/>
                <w:lang w:val="en-US" w:eastAsia="zh-CN"/>
              </w:rPr>
            </w:pPr>
            <w:r>
              <w:rPr>
                <w:rFonts w:eastAsia="等线"/>
                <w:b/>
                <w:bCs/>
                <w:u w:val="single"/>
                <w:lang w:val="en-US" w:eastAsia="zh-CN"/>
              </w:rPr>
              <w:t>Agreement</w:t>
            </w:r>
          </w:p>
          <w:p>
            <w:pPr>
              <w:snapToGrid w:val="0"/>
              <w:spacing w:before="72" w:beforeLines="30" w:after="72" w:afterLines="30" w:line="288" w:lineRule="auto"/>
              <w:jc w:val="both"/>
              <w:rPr>
                <w:rFonts w:eastAsia="Times New Roman"/>
                <w:color w:val="000000"/>
                <w:szCs w:val="20"/>
              </w:rPr>
            </w:pPr>
            <w:r>
              <w:rPr>
                <w:rFonts w:eastAsia="Times New Roman"/>
                <w:color w:val="000000"/>
                <w:szCs w:val="20"/>
              </w:rPr>
              <w:t xml:space="preserve">On beam report transmission procedure for </w:t>
            </w:r>
            <w:r>
              <w:rPr>
                <w:szCs w:val="20"/>
              </w:rPr>
              <w:t>UE-initiated/event-driven beam report</w:t>
            </w:r>
            <w:r>
              <w:rPr>
                <w:rFonts w:eastAsia="Times New Roman"/>
                <w:color w:val="000000"/>
                <w:szCs w:val="20"/>
              </w:rPr>
              <w:t>ing, following modes are supported</w:t>
            </w:r>
            <w:r>
              <w:rPr>
                <w:rFonts w:hint="eastAsia" w:eastAsia="Times New Roman"/>
                <w:color w:val="000000"/>
                <w:szCs w:val="20"/>
              </w:rPr>
              <w:t>:</w:t>
            </w:r>
          </w:p>
          <w:p>
            <w:pPr>
              <w:numPr>
                <w:ilvl w:val="0"/>
                <w:numId w:val="14"/>
              </w:numPr>
              <w:snapToGrid w:val="0"/>
              <w:spacing w:before="72" w:beforeLines="30" w:after="72" w:afterLines="30" w:line="288" w:lineRule="auto"/>
              <w:jc w:val="both"/>
              <w:rPr>
                <w:szCs w:val="20"/>
              </w:rPr>
            </w:pPr>
            <w:r>
              <w:rPr>
                <w:szCs w:val="20"/>
              </w:rPr>
              <w:t>Mode A (dynamically scheduling UCI by gNB):</w:t>
            </w:r>
          </w:p>
          <w:p>
            <w:pPr>
              <w:numPr>
                <w:ilvl w:val="1"/>
                <w:numId w:val="14"/>
              </w:numPr>
              <w:snapToGrid w:val="0"/>
              <w:spacing w:before="72" w:beforeLines="30" w:after="72" w:afterLines="30" w:line="288" w:lineRule="auto"/>
              <w:jc w:val="both"/>
              <w:rPr>
                <w:rFonts w:eastAsia="MS Mincho"/>
                <w:szCs w:val="20"/>
                <w:lang w:eastAsia="ja-JP"/>
              </w:rPr>
            </w:pPr>
            <w:r>
              <w:rPr>
                <w:szCs w:val="20"/>
              </w:rPr>
              <w:t xml:space="preserve">Step 1: UE transmits a first PUCCH (one-bit/multi-bit) to request a resource for a </w:t>
            </w:r>
            <w:r>
              <w:rPr>
                <w:color w:val="000000"/>
                <w:szCs w:val="20"/>
              </w:rPr>
              <w:t xml:space="preserve">second UL channel to carry beam </w:t>
            </w:r>
            <w:r>
              <w:rPr>
                <w:szCs w:val="20"/>
              </w:rPr>
              <w:t>report</w:t>
            </w:r>
          </w:p>
          <w:p>
            <w:pPr>
              <w:numPr>
                <w:ilvl w:val="2"/>
                <w:numId w:val="14"/>
              </w:numPr>
              <w:snapToGrid w:val="0"/>
              <w:spacing w:before="72" w:beforeLines="30" w:after="72" w:afterLines="30" w:line="288" w:lineRule="auto"/>
              <w:jc w:val="both"/>
              <w:rPr>
                <w:rFonts w:eastAsia="MS Mincho"/>
                <w:szCs w:val="20"/>
                <w:lang w:eastAsia="ja-JP"/>
              </w:rPr>
            </w:pPr>
            <w:r>
              <w:rPr>
                <w:rFonts w:eastAsia="MS Mincho"/>
                <w:szCs w:val="20"/>
                <w:lang w:eastAsia="ja-JP"/>
              </w:rPr>
              <w:t>FFS: Request format, e.g., SR or a new UCI type</w:t>
            </w:r>
            <w:r>
              <w:rPr>
                <w:szCs w:val="20"/>
              </w:rPr>
              <w:t>.</w:t>
            </w:r>
          </w:p>
          <w:p>
            <w:pPr>
              <w:numPr>
                <w:ilvl w:val="1"/>
                <w:numId w:val="14"/>
              </w:numPr>
              <w:snapToGrid w:val="0"/>
              <w:spacing w:before="72" w:beforeLines="30" w:after="72" w:afterLines="30" w:line="288" w:lineRule="auto"/>
              <w:jc w:val="both"/>
              <w:rPr>
                <w:rFonts w:eastAsia="MS Mincho"/>
                <w:szCs w:val="20"/>
                <w:lang w:eastAsia="ja-JP"/>
              </w:rPr>
            </w:pPr>
            <w:r>
              <w:rPr>
                <w:color w:val="000000"/>
                <w:szCs w:val="20"/>
              </w:rPr>
              <w:t xml:space="preserve">Step 2: UE detects the DCI format to indicate </w:t>
            </w:r>
            <w:r>
              <w:rPr>
                <w:szCs w:val="20"/>
              </w:rPr>
              <w:t xml:space="preserve">a resource for a </w:t>
            </w:r>
            <w:r>
              <w:rPr>
                <w:color w:val="000000"/>
                <w:szCs w:val="20"/>
              </w:rPr>
              <w:t xml:space="preserve">second UL channel to carry beam report. </w:t>
            </w:r>
          </w:p>
          <w:p>
            <w:pPr>
              <w:numPr>
                <w:ilvl w:val="1"/>
                <w:numId w:val="14"/>
              </w:numPr>
              <w:snapToGrid w:val="0"/>
              <w:spacing w:before="72" w:beforeLines="30" w:after="72" w:afterLines="30" w:line="288" w:lineRule="auto"/>
              <w:jc w:val="both"/>
              <w:rPr>
                <w:szCs w:val="20"/>
              </w:rPr>
            </w:pPr>
            <w:r>
              <w:rPr>
                <w:color w:val="000000"/>
                <w:szCs w:val="20"/>
              </w:rPr>
              <w:t xml:space="preserve">Step 3: Beam report is transmitted </w:t>
            </w:r>
            <w:r>
              <w:rPr>
                <w:szCs w:val="20"/>
              </w:rPr>
              <w:t>in second UL channel.</w:t>
            </w:r>
          </w:p>
          <w:p>
            <w:pPr>
              <w:numPr>
                <w:ilvl w:val="2"/>
                <w:numId w:val="14"/>
              </w:numPr>
              <w:snapToGrid w:val="0"/>
              <w:spacing w:before="72" w:beforeLines="30" w:after="72" w:afterLines="30" w:line="288" w:lineRule="auto"/>
              <w:jc w:val="both"/>
            </w:pPr>
            <w:r>
              <w:rPr>
                <w:szCs w:val="20"/>
              </w:rPr>
              <w:t>FFS: Details on the second UL channel, e.g., whether the second UL channel is PUCCH, PUSCH or both</w:t>
            </w:r>
          </w:p>
          <w:p>
            <w:pPr>
              <w:numPr>
                <w:ilvl w:val="1"/>
                <w:numId w:val="14"/>
              </w:numPr>
              <w:snapToGrid w:val="0"/>
              <w:spacing w:before="72" w:beforeLines="30" w:after="72" w:afterLines="30" w:line="288" w:lineRule="auto"/>
              <w:jc w:val="both"/>
            </w:pPr>
            <w:r>
              <w:t xml:space="preserve">This mode is basic UE capability (i.e. all UE supporting UE-initiated/event-driven beam reporting </w:t>
            </w:r>
            <w:r>
              <w:rPr>
                <w:rFonts w:hint="eastAsia"/>
              </w:rPr>
              <w:t>sho</w:t>
            </w:r>
            <w:r>
              <w:t>uld support this feature).</w:t>
            </w:r>
          </w:p>
          <w:p>
            <w:pPr>
              <w:numPr>
                <w:ilvl w:val="1"/>
                <w:numId w:val="14"/>
              </w:numPr>
              <w:snapToGrid w:val="0"/>
              <w:spacing w:before="72" w:beforeLines="30" w:after="72" w:afterLines="30" w:line="288" w:lineRule="auto"/>
              <w:jc w:val="both"/>
            </w:pPr>
            <w:r>
              <w:t>No new DCI format is introduced.</w:t>
            </w:r>
          </w:p>
          <w:p>
            <w:pPr>
              <w:numPr>
                <w:ilvl w:val="0"/>
                <w:numId w:val="14"/>
              </w:numPr>
              <w:snapToGrid w:val="0"/>
              <w:spacing w:before="72" w:beforeLines="30" w:after="72" w:afterLines="30" w:line="288" w:lineRule="auto"/>
              <w:jc w:val="both"/>
              <w:rPr>
                <w:szCs w:val="20"/>
              </w:rPr>
            </w:pPr>
            <w:r>
              <w:rPr>
                <w:szCs w:val="20"/>
              </w:rPr>
              <w:t>Mode B (UCI in pre-configured resource(s) for second UL channel):</w:t>
            </w:r>
          </w:p>
          <w:p>
            <w:pPr>
              <w:numPr>
                <w:ilvl w:val="1"/>
                <w:numId w:val="14"/>
              </w:numPr>
              <w:snapToGrid w:val="0"/>
              <w:spacing w:before="72" w:beforeLines="30" w:after="72" w:afterLines="30" w:line="288" w:lineRule="auto"/>
              <w:jc w:val="both"/>
              <w:rPr>
                <w:rFonts w:eastAsia="MS Mincho"/>
                <w:szCs w:val="20"/>
                <w:lang w:eastAsia="ja-JP"/>
              </w:rPr>
            </w:pPr>
            <w:r>
              <w:rPr>
                <w:szCs w:val="20"/>
              </w:rPr>
              <w:t>Step 1: UE transmits a first PUCCH (one-bit/multi-bit) notifying a second UL channel to carry beam report</w:t>
            </w:r>
          </w:p>
          <w:p>
            <w:pPr>
              <w:numPr>
                <w:ilvl w:val="2"/>
                <w:numId w:val="14"/>
              </w:numPr>
              <w:snapToGrid w:val="0"/>
              <w:spacing w:before="72" w:beforeLines="30" w:after="72" w:afterLines="30" w:line="288" w:lineRule="auto"/>
              <w:jc w:val="both"/>
              <w:rPr>
                <w:rFonts w:eastAsia="MS Mincho"/>
                <w:szCs w:val="20"/>
                <w:lang w:eastAsia="ja-JP"/>
              </w:rPr>
            </w:pPr>
            <w:r>
              <w:rPr>
                <w:rFonts w:eastAsia="MS Mincho"/>
                <w:szCs w:val="20"/>
                <w:lang w:eastAsia="ja-JP"/>
              </w:rPr>
              <w:t>FFS: Notification format, e.g., SR or a new UCI type</w:t>
            </w:r>
            <w:r>
              <w:rPr>
                <w:szCs w:val="20"/>
              </w:rPr>
              <w:t>.</w:t>
            </w:r>
          </w:p>
          <w:p>
            <w:pPr>
              <w:numPr>
                <w:ilvl w:val="1"/>
                <w:numId w:val="14"/>
              </w:numPr>
              <w:snapToGrid w:val="0"/>
              <w:spacing w:before="72" w:beforeLines="30" w:after="72" w:afterLines="30" w:line="288" w:lineRule="auto"/>
              <w:jc w:val="both"/>
              <w:rPr>
                <w:szCs w:val="20"/>
              </w:rPr>
            </w:pPr>
            <w:r>
              <w:rPr>
                <w:szCs w:val="20"/>
              </w:rPr>
              <w:t xml:space="preserve">Step 2: UE transmits the beam report in the second UL channel. </w:t>
            </w:r>
          </w:p>
          <w:p>
            <w:pPr>
              <w:numPr>
                <w:ilvl w:val="2"/>
                <w:numId w:val="14"/>
              </w:numPr>
              <w:snapToGrid w:val="0"/>
              <w:spacing w:before="72" w:beforeLines="30" w:after="72" w:afterLines="30" w:line="288" w:lineRule="auto"/>
              <w:jc w:val="both"/>
              <w:rPr>
                <w:szCs w:val="20"/>
              </w:rPr>
            </w:pPr>
            <w:r>
              <w:rPr>
                <w:szCs w:val="20"/>
              </w:rPr>
              <w:t>FFS: Details on the second UL channel, e.g., whether the second UL channel is PUCCH, PUSCH or both</w:t>
            </w:r>
          </w:p>
          <w:p>
            <w:pPr>
              <w:numPr>
                <w:ilvl w:val="1"/>
                <w:numId w:val="14"/>
              </w:numPr>
              <w:snapToGrid w:val="0"/>
              <w:spacing w:before="72" w:beforeLines="30" w:after="72" w:afterLines="30" w:line="288" w:lineRule="auto"/>
              <w:jc w:val="both"/>
              <w:rPr>
                <w:szCs w:val="20"/>
              </w:rPr>
            </w:pPr>
            <w:r>
              <w:rPr>
                <w:szCs w:val="20"/>
              </w:rPr>
              <w:t xml:space="preserve">The notification in Step1 is in a separate reporting instance from the beam report in Step 2. </w:t>
            </w:r>
          </w:p>
          <w:p>
            <w:pPr>
              <w:snapToGrid w:val="0"/>
              <w:spacing w:before="72" w:beforeLines="30" w:after="72" w:afterLines="30" w:line="288" w:lineRule="auto"/>
              <w:jc w:val="both"/>
              <w:rPr>
                <w:szCs w:val="20"/>
              </w:rPr>
            </w:pPr>
            <w:r>
              <w:rPr>
                <w:szCs w:val="20"/>
              </w:rPr>
              <w:t>FFS: Whether UE receives acknowledge information with response to each step for all modes</w:t>
            </w:r>
          </w:p>
          <w:p>
            <w:pPr>
              <w:spacing w:before="72" w:beforeLines="30" w:after="72" w:afterLines="30" w:line="288" w:lineRule="auto"/>
              <w:jc w:val="both"/>
            </w:pPr>
            <w:r>
              <w:t xml:space="preserve">For above procedures, </w:t>
            </w:r>
            <w:r>
              <w:rPr>
                <w:rFonts w:hint="eastAsia"/>
              </w:rPr>
              <w:t>c</w:t>
            </w:r>
            <w:r>
              <w:t>ross-</w:t>
            </w:r>
            <w:r>
              <w:rPr>
                <w:rFonts w:hint="eastAsia"/>
              </w:rPr>
              <w:t>CC</w:t>
            </w:r>
            <w:r>
              <w:t xml:space="preserve"> beam reporting is supported for both modes.</w:t>
            </w:r>
          </w:p>
          <w:p>
            <w:pPr>
              <w:numPr>
                <w:ilvl w:val="0"/>
                <w:numId w:val="14"/>
              </w:numPr>
              <w:snapToGrid w:val="0"/>
              <w:spacing w:before="72" w:beforeLines="30" w:after="72" w:afterLines="30" w:line="288" w:lineRule="auto"/>
              <w:jc w:val="both"/>
              <w:rPr>
                <w:rFonts w:eastAsia="宋体"/>
                <w:szCs w:val="20"/>
              </w:rPr>
            </w:pPr>
            <w:r>
              <w:rPr>
                <w:szCs w:val="20"/>
              </w:rPr>
              <w:t>FFS: Details.</w:t>
            </w:r>
          </w:p>
        </w:tc>
      </w:tr>
    </w:tbl>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First PUCCH</w:t>
      </w:r>
    </w:p>
    <w:p>
      <w:pPr>
        <w:pStyle w:val="99"/>
        <w:snapToGrid w:val="0"/>
        <w:spacing w:before="60" w:beforeLines="25" w:after="60" w:afterLines="25" w:line="300" w:lineRule="auto"/>
        <w:ind w:firstLine="0" w:firstLineChars="0"/>
        <w:jc w:val="both"/>
        <w:rPr>
          <w:rFonts w:eastAsia="宋体"/>
          <w:szCs w:val="20"/>
        </w:rPr>
      </w:pPr>
      <w:r>
        <w:rPr>
          <w:rFonts w:hint="eastAsia" w:eastAsia="宋体"/>
          <w:b/>
          <w:bCs/>
          <w:szCs w:val="20"/>
          <w:u w:val="single"/>
        </w:rPr>
        <w:t>First PUCCH</w:t>
      </w:r>
    </w:p>
    <w:p>
      <w:pPr>
        <w:pStyle w:val="111"/>
        <w:numPr>
          <w:ilvl w:val="0"/>
          <w:numId w:val="15"/>
        </w:numPr>
        <w:snapToGrid w:val="0"/>
        <w:spacing w:before="72" w:beforeLines="30" w:after="72" w:afterLines="30" w:line="288" w:lineRule="auto"/>
        <w:ind w:firstLineChars="0"/>
        <w:jc w:val="both"/>
        <w:rPr>
          <w:rFonts w:eastAsia="宋体"/>
        </w:rPr>
      </w:pPr>
      <w:r>
        <w:rPr>
          <w:rFonts w:hint="eastAsia" w:eastAsia="宋体"/>
        </w:rPr>
        <w:t>One bit</w:t>
      </w:r>
    </w:p>
    <w:p>
      <w:pPr>
        <w:pStyle w:val="111"/>
        <w:numPr>
          <w:ilvl w:val="1"/>
          <w:numId w:val="15"/>
        </w:numPr>
        <w:snapToGrid w:val="0"/>
        <w:spacing w:before="72" w:beforeLines="30" w:after="72" w:afterLines="30" w:line="288" w:lineRule="auto"/>
        <w:ind w:firstLineChars="0"/>
        <w:jc w:val="both"/>
        <w:rPr>
          <w:rFonts w:eastAsia="宋体"/>
        </w:rPr>
      </w:pPr>
      <w:r>
        <w:rPr>
          <w:rFonts w:hint="eastAsia" w:eastAsia="宋体"/>
        </w:rPr>
        <w:t xml:space="preserve">In Mode A, UE transmits a first PUCCH to request a resource for a second UL channel to carry beam report, </w:t>
      </w:r>
      <w:r>
        <w:rPr>
          <w:rFonts w:eastAsia="宋体"/>
        </w:rPr>
        <w:t>whereas</w:t>
      </w:r>
      <w:r>
        <w:rPr>
          <w:rFonts w:hint="eastAsia" w:eastAsia="宋体"/>
        </w:rPr>
        <w:t xml:space="preserve"> the first PUCCH actually plays a role as scheduling request in such case.</w:t>
      </w:r>
    </w:p>
    <w:p>
      <w:pPr>
        <w:pStyle w:val="111"/>
        <w:numPr>
          <w:ilvl w:val="1"/>
          <w:numId w:val="15"/>
        </w:numPr>
        <w:snapToGrid w:val="0"/>
        <w:spacing w:before="72" w:beforeLines="30" w:after="72" w:afterLines="30" w:line="288" w:lineRule="auto"/>
        <w:ind w:firstLineChars="0"/>
        <w:jc w:val="both"/>
        <w:rPr>
          <w:rFonts w:eastAsia="宋体"/>
        </w:rPr>
      </w:pPr>
      <w:r>
        <w:rPr>
          <w:rFonts w:hint="eastAsia" w:eastAsia="宋体"/>
        </w:rPr>
        <w:t xml:space="preserve">Although the first PUCCH in Mode B is not used to request uplink resources in </w:t>
      </w:r>
      <w:r>
        <w:rPr>
          <w:rFonts w:eastAsia="宋体"/>
        </w:rPr>
        <w:t>fact</w:t>
      </w:r>
      <w:r>
        <w:rPr>
          <w:rFonts w:hint="eastAsia" w:eastAsia="宋体"/>
        </w:rPr>
        <w:t>, for the sake of a unified design and not introducing a new type of UCI, the first PUCCH in Mode B should be considered as an SR as well.</w:t>
      </w:r>
    </w:p>
    <w:p>
      <w:pPr>
        <w:pStyle w:val="111"/>
        <w:numPr>
          <w:ilvl w:val="1"/>
          <w:numId w:val="15"/>
        </w:numPr>
        <w:snapToGrid w:val="0"/>
        <w:spacing w:before="72" w:beforeLines="30" w:after="72" w:afterLines="30" w:line="288" w:lineRule="auto"/>
        <w:ind w:firstLineChars="0"/>
        <w:jc w:val="both"/>
        <w:rPr>
          <w:rFonts w:eastAsia="宋体"/>
        </w:rPr>
      </w:pPr>
      <w:r>
        <w:rPr>
          <w:rFonts w:hint="eastAsia" w:eastAsia="宋体"/>
        </w:rPr>
        <w:t>In such way, multiplexing rule and triggering mechanism of an SR in legacy can be leveraged as much as possible.</w:t>
      </w:r>
    </w:p>
    <w:p>
      <w:pPr>
        <w:pStyle w:val="111"/>
        <w:numPr>
          <w:ilvl w:val="1"/>
          <w:numId w:val="15"/>
        </w:numPr>
        <w:snapToGrid w:val="0"/>
        <w:spacing w:before="72" w:beforeLines="30" w:after="72" w:afterLines="30" w:line="288" w:lineRule="auto"/>
        <w:ind w:firstLineChars="0"/>
        <w:jc w:val="both"/>
        <w:rPr>
          <w:rFonts w:eastAsia="宋体"/>
        </w:rPr>
      </w:pPr>
      <w:r>
        <w:rPr>
          <w:rFonts w:hint="eastAsia" w:eastAsia="宋体"/>
        </w:rPr>
        <w:t>With regard</w:t>
      </w:r>
      <w:r>
        <w:rPr>
          <w:rFonts w:eastAsia="宋体"/>
        </w:rPr>
        <w:t>s</w:t>
      </w:r>
      <w:r>
        <w:rPr>
          <w:rFonts w:hint="eastAsia" w:eastAsia="宋体"/>
        </w:rPr>
        <w:t xml:space="preserve"> to whether a dedicated PUCCH resource or an SR configuration dedicated to UEIBR can be configured for the first PUCCH, it should be noted that when more than one SR are transmitted on a PUCCH </w:t>
      </w:r>
      <w:r>
        <w:rPr>
          <w:rFonts w:eastAsia="宋体"/>
        </w:rPr>
        <w:t>because of</w:t>
      </w:r>
      <w:r>
        <w:rPr>
          <w:rFonts w:hint="eastAsia" w:eastAsia="宋体"/>
        </w:rPr>
        <w:t xml:space="preserve"> multiplexing, UE generates a set of UCI bits based on the positive and negative status of all the SR configurations in the order of values of </w:t>
      </w:r>
      <w:r>
        <w:rPr>
          <w:iCs/>
          <w:color w:val="000000"/>
        </w:rPr>
        <w:t>scheduling</w:t>
      </w:r>
      <w:r>
        <w:rPr>
          <w:rFonts w:hint="eastAsia" w:eastAsia="宋体"/>
          <w:iCs/>
          <w:color w:val="000000"/>
        </w:rPr>
        <w:t xml:space="preserve"> r</w:t>
      </w:r>
      <w:r>
        <w:rPr>
          <w:iCs/>
          <w:color w:val="000000"/>
        </w:rPr>
        <w:t>equest</w:t>
      </w:r>
      <w:r>
        <w:rPr>
          <w:rFonts w:hint="eastAsia" w:eastAsia="宋体"/>
          <w:iCs/>
          <w:color w:val="000000"/>
        </w:rPr>
        <w:t xml:space="preserve"> r</w:t>
      </w:r>
      <w:r>
        <w:rPr>
          <w:iCs/>
          <w:color w:val="000000"/>
        </w:rPr>
        <w:t>esource</w:t>
      </w:r>
      <w:r>
        <w:rPr>
          <w:rFonts w:hint="eastAsia" w:eastAsia="宋体"/>
          <w:iCs/>
          <w:color w:val="000000"/>
        </w:rPr>
        <w:t xml:space="preserve"> ID</w:t>
      </w:r>
      <w:r>
        <w:rPr>
          <w:rFonts w:hint="eastAsia" w:eastAsia="宋体"/>
        </w:rPr>
        <w:t>. The details can be find as follow</w:t>
      </w:r>
      <w:r>
        <w:rPr>
          <w:rFonts w:eastAsia="宋体"/>
        </w:rPr>
        <w:t>ing excerpts in TS 38.213</w:t>
      </w:r>
      <w:r>
        <w:rPr>
          <w:rFonts w:hint="eastAsia" w:eastAsia="宋体"/>
        </w:rPr>
        <w:t>. Therefore, if a dedicated PUCCH resource is configured for UEIBR and it is regarded or multiplexed as SR, specification impacts might be huge.</w:t>
      </w:r>
    </w:p>
    <w:p>
      <w:pPr>
        <w:pStyle w:val="111"/>
        <w:numPr>
          <w:ilvl w:val="1"/>
          <w:numId w:val="15"/>
        </w:numPr>
        <w:snapToGrid w:val="0"/>
        <w:spacing w:before="72" w:beforeLines="30" w:after="72" w:afterLines="30" w:line="288" w:lineRule="auto"/>
        <w:ind w:firstLineChars="0"/>
        <w:jc w:val="both"/>
        <w:rPr>
          <w:rFonts w:eastAsia="宋体"/>
        </w:rPr>
      </w:pPr>
      <w:r>
        <w:rPr>
          <w:rFonts w:hint="eastAsia" w:eastAsia="宋体"/>
        </w:rPr>
        <w:t>Besides, considering the total number of SR configurations is limited, configuring an SR configuration per report configuration is impossible, hence a common SR configuration should be supported. In case that UEIBR is triggered for any one of the report configurations, the first PUCCH is transmitted.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1"/>
              <w:snapToGrid w:val="0"/>
              <w:spacing w:before="72" w:beforeLines="30" w:after="72" w:afterLines="30" w:line="288" w:lineRule="auto"/>
              <w:ind w:firstLine="0" w:firstLineChars="0"/>
              <w:jc w:val="both"/>
              <w:rPr>
                <w:b/>
                <w:bCs/>
                <w:sz w:val="21"/>
                <w:szCs w:val="24"/>
              </w:rPr>
            </w:pPr>
            <w:r>
              <w:rPr>
                <w:rFonts w:hint="eastAsia" w:eastAsia="宋体"/>
                <w:b/>
                <w:bCs/>
                <w:sz w:val="21"/>
                <w:szCs w:val="24"/>
              </w:rPr>
              <w:t xml:space="preserve">9.2.5.1  </w:t>
            </w:r>
            <w:r>
              <w:rPr>
                <w:b/>
                <w:bCs/>
                <w:sz w:val="21"/>
                <w:szCs w:val="24"/>
              </w:rPr>
              <w:t>UE procedure for multiplexing HARQ-ACK or CSI and SR in a PUCCH</w:t>
            </w:r>
          </w:p>
          <w:p>
            <w:pPr>
              <w:pStyle w:val="111"/>
              <w:snapToGrid w:val="0"/>
              <w:spacing w:before="72" w:beforeLines="30" w:after="72" w:afterLines="30" w:line="288" w:lineRule="auto"/>
              <w:ind w:firstLine="0" w:firstLineChars="0"/>
              <w:jc w:val="both"/>
              <w:rPr>
                <w:rFonts w:eastAsia="宋体"/>
              </w:rPr>
            </w:pPr>
            <w:r>
              <w:t xml:space="preserve">If a UE would transmit a PUCCH with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bits representing a negative or positive SR, 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UCI</m:t>
                      </m:r>
                      <m:ctrlPr>
                        <w:rPr>
                          <w:rFonts w:ascii="Cambria Math" w:hAnsi="Cambria Math"/>
                        </w:rPr>
                      </m:ctrlPr>
                    </m:sub>
                  </m:sSub>
                  <m:r>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bits indicates the positive LRR.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p>
        </w:tc>
      </w:tr>
    </w:tbl>
    <w:p>
      <w:pPr>
        <w:pStyle w:val="111"/>
        <w:numPr>
          <w:ilvl w:val="0"/>
          <w:numId w:val="15"/>
        </w:numPr>
        <w:snapToGrid w:val="0"/>
        <w:spacing w:before="72" w:beforeLines="30" w:after="72" w:afterLines="30" w:line="288" w:lineRule="auto"/>
        <w:ind w:firstLineChars="0"/>
        <w:jc w:val="both"/>
        <w:rPr>
          <w:rFonts w:eastAsia="宋体"/>
        </w:rPr>
      </w:pPr>
      <w:r>
        <w:rPr>
          <w:rFonts w:hint="eastAsia" w:eastAsia="宋体"/>
        </w:rPr>
        <w:t>Multiple bits</w:t>
      </w:r>
    </w:p>
    <w:p>
      <w:pPr>
        <w:pStyle w:val="111"/>
        <w:numPr>
          <w:ilvl w:val="1"/>
          <w:numId w:val="15"/>
        </w:numPr>
        <w:snapToGrid w:val="0"/>
        <w:spacing w:before="72" w:beforeLines="30" w:after="72" w:afterLines="30" w:line="288" w:lineRule="auto"/>
        <w:ind w:firstLineChars="0"/>
        <w:jc w:val="both"/>
        <w:rPr>
          <w:rFonts w:eastAsia="宋体"/>
        </w:rPr>
      </w:pPr>
      <w:r>
        <w:rPr>
          <w:rFonts w:eastAsia="宋体"/>
        </w:rPr>
        <w:t>In the current specifications</w:t>
      </w:r>
      <w:r>
        <w:rPr>
          <w:rFonts w:hint="eastAsia" w:eastAsia="宋体"/>
        </w:rPr>
        <w:t xml:space="preserve">, </w:t>
      </w:r>
      <w:r>
        <w:rPr>
          <w:rFonts w:eastAsia="宋体"/>
        </w:rPr>
        <w:t xml:space="preserve">just </w:t>
      </w:r>
      <w:r>
        <w:rPr>
          <w:rFonts w:hint="eastAsia" w:eastAsia="宋体"/>
        </w:rPr>
        <w:t>HARQ-ACK codebook and CSI report can be larger than 2 bits. Obviously, if multiple bits can be carried by the first PUCCH, it should be regarded as CSI.</w:t>
      </w:r>
    </w:p>
    <w:p>
      <w:pPr>
        <w:pStyle w:val="111"/>
        <w:numPr>
          <w:ilvl w:val="1"/>
          <w:numId w:val="15"/>
        </w:numPr>
        <w:snapToGrid w:val="0"/>
        <w:spacing w:before="72" w:beforeLines="30" w:after="72" w:afterLines="30" w:line="288" w:lineRule="auto"/>
        <w:ind w:firstLineChars="0"/>
        <w:jc w:val="both"/>
        <w:rPr>
          <w:rFonts w:eastAsia="宋体"/>
        </w:rPr>
      </w:pPr>
      <w:r>
        <w:rPr>
          <w:rFonts w:hint="eastAsia" w:eastAsia="宋体"/>
        </w:rPr>
        <w:t>According to the current specification</w:t>
      </w:r>
      <w:r>
        <w:rPr>
          <w:rFonts w:eastAsia="宋体"/>
        </w:rPr>
        <w:t>s</w:t>
      </w:r>
      <w:r>
        <w:rPr>
          <w:rFonts w:hint="eastAsia" w:eastAsia="宋体"/>
        </w:rPr>
        <w:t xml:space="preserve">, only PUCCH format 2/3/4 can be configured to carry CSI reports, which means that bit size of a CSI report should be larger than </w:t>
      </w:r>
      <w:r>
        <w:rPr>
          <w:rFonts w:eastAsia="宋体"/>
        </w:rPr>
        <w:t>two</w:t>
      </w:r>
      <w:r>
        <w:rPr>
          <w:rFonts w:hint="eastAsia" w:eastAsia="宋体"/>
        </w:rPr>
        <w:t xml:space="preserve">. Therefore, the size of multiple bits should </w:t>
      </w:r>
      <w:r>
        <w:rPr>
          <w:rFonts w:eastAsia="宋体"/>
        </w:rPr>
        <w:t xml:space="preserve">always </w:t>
      </w:r>
      <w:r>
        <w:rPr>
          <w:rFonts w:hint="eastAsia" w:eastAsia="宋体"/>
        </w:rPr>
        <w:t xml:space="preserve">be larger than </w:t>
      </w:r>
      <w:r>
        <w:rPr>
          <w:rFonts w:eastAsia="宋体"/>
        </w:rPr>
        <w:t>two</w:t>
      </w:r>
      <w:r>
        <w:rPr>
          <w:rFonts w:hint="eastAsia" w:eastAsia="宋体"/>
        </w:rPr>
        <w:t xml:space="preserve">, but not variable from one to multiple according to the report contents on the second UL channel. </w:t>
      </w:r>
      <w:r>
        <w:rPr>
          <w:rFonts w:eastAsia="宋体"/>
        </w:rPr>
        <w:t>Moreover</w:t>
      </w:r>
      <w:r>
        <w:rPr>
          <w:rFonts w:hint="eastAsia" w:eastAsia="宋体"/>
        </w:rPr>
        <w:t>, the fields or information indicated by the multiple bits should be clarified.</w:t>
      </w:r>
    </w:p>
    <w:p>
      <w:pPr>
        <w:snapToGrid w:val="0"/>
        <w:spacing w:before="72" w:beforeLines="30" w:after="72" w:afterLines="30" w:line="288" w:lineRule="auto"/>
        <w:jc w:val="both"/>
        <w:rPr>
          <w:rFonts w:eastAsia="Times New Roman"/>
          <w:i/>
          <w:iCs/>
          <w:color w:val="000000"/>
          <w:szCs w:val="20"/>
        </w:rPr>
      </w:pPr>
      <w:r>
        <w:rPr>
          <w:rFonts w:hint="eastAsia" w:eastAsia="宋体"/>
          <w:b/>
          <w:bCs/>
          <w:i/>
          <w:iCs/>
        </w:rPr>
        <w:t>Proposal 7:</w:t>
      </w:r>
      <w:r>
        <w:rPr>
          <w:rFonts w:hint="eastAsia" w:eastAsia="宋体"/>
          <w:i/>
          <w:iCs/>
        </w:rPr>
        <w:t xml:space="preserve"> </w:t>
      </w:r>
      <w:r>
        <w:rPr>
          <w:rFonts w:eastAsia="Times New Roman"/>
          <w:i/>
          <w:iCs/>
          <w:color w:val="000000"/>
          <w:szCs w:val="20"/>
        </w:rPr>
        <w:t xml:space="preserve">On beam report transmission procedure for </w:t>
      </w:r>
      <w:r>
        <w:rPr>
          <w:i/>
          <w:iCs/>
          <w:szCs w:val="20"/>
        </w:rPr>
        <w:t>UE-initiated/event-driven beam report</w:t>
      </w:r>
      <w:r>
        <w:rPr>
          <w:rFonts w:eastAsia="Times New Roman"/>
          <w:i/>
          <w:iCs/>
          <w:color w:val="000000"/>
          <w:szCs w:val="20"/>
        </w:rPr>
        <w:t>ing, </w:t>
      </w:r>
      <w:r>
        <w:rPr>
          <w:rFonts w:hint="eastAsia" w:eastAsia="Times New Roman"/>
          <w:i/>
          <w:iCs/>
          <w:color w:val="000000"/>
          <w:szCs w:val="20"/>
        </w:rPr>
        <w:t>for both Mode A and Mode B, the first PUCCH carries 1 bit information.</w:t>
      </w:r>
    </w:p>
    <w:p>
      <w:pPr>
        <w:numPr>
          <w:ilvl w:val="0"/>
          <w:numId w:val="10"/>
        </w:numPr>
        <w:snapToGrid w:val="0"/>
        <w:spacing w:before="72" w:beforeLines="30" w:after="72" w:afterLines="30" w:line="288" w:lineRule="auto"/>
        <w:jc w:val="both"/>
        <w:rPr>
          <w:rFonts w:eastAsia="Times New Roman"/>
          <w:i/>
          <w:iCs/>
          <w:color w:val="000000"/>
          <w:szCs w:val="20"/>
        </w:rPr>
      </w:pPr>
      <w:r>
        <w:rPr>
          <w:rFonts w:hint="eastAsia" w:eastAsia="Times New Roman"/>
          <w:i/>
          <w:iCs/>
          <w:color w:val="000000"/>
          <w:szCs w:val="20"/>
        </w:rPr>
        <w:t>The 1 bit information is an SR.</w:t>
      </w:r>
    </w:p>
    <w:p>
      <w:pPr>
        <w:numPr>
          <w:ilvl w:val="0"/>
          <w:numId w:val="10"/>
        </w:numPr>
        <w:snapToGrid w:val="0"/>
        <w:spacing w:before="72" w:beforeLines="30" w:after="72" w:afterLines="30" w:line="288" w:lineRule="auto"/>
        <w:jc w:val="both"/>
        <w:rPr>
          <w:rFonts w:eastAsia="宋体"/>
        </w:rPr>
      </w:pPr>
      <w:r>
        <w:rPr>
          <w:rFonts w:hint="eastAsia" w:eastAsia="Times New Roman"/>
          <w:i/>
          <w:iCs/>
          <w:color w:val="000000"/>
          <w:szCs w:val="20"/>
        </w:rPr>
        <w:t>An SR configuration dedicated to UE-initiated beam report is configured for the first PUCCH.</w:t>
      </w:r>
    </w:p>
    <w:p>
      <w:pPr>
        <w:numPr>
          <w:ilvl w:val="0"/>
          <w:numId w:val="10"/>
        </w:numPr>
        <w:snapToGrid w:val="0"/>
        <w:spacing w:before="72" w:beforeLines="30" w:after="72" w:afterLines="30" w:line="288" w:lineRule="auto"/>
        <w:jc w:val="both"/>
        <w:rPr>
          <w:rFonts w:eastAsia="宋体"/>
        </w:rPr>
      </w:pPr>
      <w:r>
        <w:rPr>
          <w:rFonts w:hint="eastAsia" w:eastAsia="Times New Roman"/>
          <w:i/>
          <w:iCs/>
          <w:color w:val="000000"/>
          <w:szCs w:val="20"/>
        </w:rPr>
        <w:t xml:space="preserve">The first PUCCH is configured commonly for all the </w:t>
      </w:r>
      <w:r>
        <w:rPr>
          <w:i/>
          <w:iCs/>
          <w:szCs w:val="20"/>
        </w:rPr>
        <w:t>UE-initiated/event-driven beam repor</w:t>
      </w:r>
      <w:r>
        <w:rPr>
          <w:rFonts w:hint="eastAsia" w:eastAsia="宋体"/>
          <w:i/>
          <w:iCs/>
          <w:szCs w:val="20"/>
        </w:rPr>
        <w:t>t configurations.</w:t>
      </w:r>
    </w:p>
    <w:p>
      <w:pPr>
        <w:numPr>
          <w:ilvl w:val="1"/>
          <w:numId w:val="7"/>
        </w:numPr>
        <w:tabs>
          <w:tab w:val="clear" w:pos="576"/>
        </w:tabs>
        <w:snapToGrid w:val="0"/>
        <w:spacing w:before="240" w:beforeLines="100" w:after="120" w:afterLines="50" w:line="288" w:lineRule="auto"/>
        <w:jc w:val="both"/>
        <w:outlineLvl w:val="1"/>
        <w:rPr>
          <w:rFonts w:eastAsia="宋体"/>
        </w:rPr>
      </w:pPr>
      <w:r>
        <w:rPr>
          <w:rFonts w:hint="eastAsia" w:eastAsia="宋体"/>
          <w:b/>
          <w:bCs/>
          <w:sz w:val="24"/>
          <w:szCs w:val="24"/>
        </w:rPr>
        <w:t>Second UL channel</w:t>
      </w:r>
    </w:p>
    <w:p>
      <w:pPr>
        <w:snapToGrid w:val="0"/>
        <w:spacing w:before="72" w:beforeLines="30" w:after="72" w:afterLines="30" w:line="288" w:lineRule="auto"/>
        <w:ind w:left="-20"/>
        <w:jc w:val="both"/>
        <w:rPr>
          <w:rFonts w:eastAsia="宋体"/>
        </w:rPr>
      </w:pPr>
      <w:r>
        <w:rPr>
          <w:rFonts w:hint="eastAsia" w:eastAsia="宋体"/>
        </w:rPr>
        <w:t>Whether PUCCH or PUSCH can be the second UL channel is a common issue for Mode A and B, hence analyses on reporting CSI on PUCCH or PUSCH based on the legacy specification are shown in the following tables.</w:t>
      </w:r>
    </w:p>
    <w:p>
      <w:pPr>
        <w:snapToGrid w:val="0"/>
        <w:spacing w:before="72" w:beforeLines="30" w:after="72" w:afterLines="30" w:line="288" w:lineRule="auto"/>
        <w:ind w:left="-20"/>
        <w:jc w:val="center"/>
        <w:rPr>
          <w:rFonts w:eastAsia="宋体"/>
        </w:rPr>
      </w:pPr>
      <w:r>
        <w:rPr>
          <w:rFonts w:hint="eastAsia" w:eastAsia="宋体"/>
          <w:b/>
          <w:bCs/>
        </w:rPr>
        <w:t>Table 1</w:t>
      </w:r>
      <w:r>
        <w:rPr>
          <w:rFonts w:hint="eastAsia" w:eastAsia="宋体"/>
        </w:rPr>
        <w:t xml:space="preserve"> UE reporting legacy CSI on PUCCH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7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p>
        </w:tc>
        <w:tc>
          <w:tcPr>
            <w:tcW w:w="7366" w:type="dxa"/>
          </w:tcPr>
          <w:p>
            <w:pPr>
              <w:snapToGrid w:val="0"/>
              <w:spacing w:before="72" w:beforeLines="30" w:after="72" w:afterLines="30" w:line="288" w:lineRule="auto"/>
              <w:jc w:val="center"/>
              <w:rPr>
                <w:rFonts w:eastAsia="宋体"/>
              </w:rPr>
            </w:pPr>
            <w:r>
              <w:rPr>
                <w:b/>
                <w:bCs/>
                <w:szCs w:val="20"/>
              </w:rPr>
              <w:t>UCI</w:t>
            </w:r>
            <w:r>
              <w:rPr>
                <w:rFonts w:hint="eastAsia" w:eastAsia="宋体"/>
                <w:b/>
                <w:bCs/>
                <w:szCs w:val="20"/>
              </w:rPr>
              <w:t>(CSI)</w:t>
            </w:r>
            <w:r>
              <w:rPr>
                <w:b/>
                <w:bCs/>
                <w:szCs w:val="20"/>
              </w:rPr>
              <w:t> on 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PUCCH format</w:t>
            </w:r>
          </w:p>
        </w:tc>
        <w:tc>
          <w:tcPr>
            <w:tcW w:w="7366" w:type="dxa"/>
          </w:tcPr>
          <w:p>
            <w:pPr>
              <w:snapToGrid w:val="0"/>
              <w:spacing w:before="72" w:beforeLines="30" w:after="72" w:afterLines="30" w:line="288" w:lineRule="auto"/>
              <w:jc w:val="both"/>
              <w:rPr>
                <w:rFonts w:eastAsia="宋体"/>
              </w:rPr>
            </w:pPr>
            <w:r>
              <w:rPr>
                <w:rFonts w:hint="eastAsia" w:eastAsia="宋体"/>
              </w:rPr>
              <w:t>Only </w:t>
            </w:r>
            <w:r>
              <w:rPr>
                <w:rFonts w:hint="eastAsia" w:eastAsia="宋体"/>
                <w:i/>
                <w:iCs/>
              </w:rPr>
              <w:t>PUCCH-Resource</w:t>
            </w:r>
            <w:r>
              <w:rPr>
                <w:rFonts w:hint="eastAsia" w:eastAsia="宋体"/>
              </w:rPr>
              <w:t> of format</w:t>
            </w:r>
            <w:r>
              <w:rPr>
                <w:rFonts w:eastAsia="宋体"/>
              </w:rPr>
              <w:t>s</w:t>
            </w:r>
            <w:r>
              <w:rPr>
                <w:rFonts w:hint="eastAsia" w:eastAsia="宋体"/>
              </w:rPr>
              <w:t> 2, 3 and 4 can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UCI reporting procedure</w:t>
            </w:r>
          </w:p>
        </w:tc>
        <w:tc>
          <w:tcPr>
            <w:tcW w:w="7366" w:type="dxa"/>
          </w:tcPr>
          <w:p>
            <w:pPr>
              <w:snapToGrid w:val="0"/>
              <w:spacing w:before="72" w:beforeLines="30" w:after="72" w:afterLines="30" w:line="288" w:lineRule="auto"/>
              <w:jc w:val="both"/>
              <w:rPr>
                <w:rFonts w:eastAsia="宋体"/>
              </w:rPr>
            </w:pPr>
            <w:r>
              <w:rPr>
                <w:rFonts w:hint="eastAsia" w:eastAsia="宋体"/>
              </w:rPr>
              <w:t>Step-1:</w:t>
            </w:r>
          </w:p>
          <w:p>
            <w:pPr>
              <w:snapToGrid w:val="0"/>
              <w:spacing w:before="72" w:beforeLines="30" w:after="72" w:afterLines="30" w:line="288" w:lineRule="auto"/>
              <w:jc w:val="both"/>
              <w:rPr>
                <w:rFonts w:eastAsia="宋体"/>
              </w:rPr>
            </w:pPr>
            <w:r>
              <w:rPr>
                <w:rFonts w:hint="eastAsia" w:eastAsia="宋体"/>
                <w:i/>
                <w:iCs/>
              </w:rPr>
              <w:t>PUCCH-CSI-Resource</w:t>
            </w:r>
            <w:r>
              <w:rPr>
                <w:rFonts w:hint="eastAsia" w:eastAsia="宋体"/>
              </w:rPr>
              <w:t> is pre-configured per report configuration for P CSI and SP CSI on PUCCH.</w:t>
            </w:r>
          </w:p>
          <w:p>
            <w:pPr>
              <w:snapToGrid w:val="0"/>
              <w:spacing w:before="72" w:beforeLines="30" w:after="72" w:afterLines="30" w:line="288" w:lineRule="auto"/>
              <w:ind w:left="400" w:leftChars="200"/>
              <w:jc w:val="both"/>
              <w:rPr>
                <w:rFonts w:eastAsia="宋体"/>
              </w:rPr>
            </w:pPr>
            <w:r>
              <w:rPr>
                <w:rFonts w:hint="eastAsia" w:eastAsia="宋体"/>
              </w:rPr>
              <w:t>Note: In legacy, it is not supported that CSI report can be carried in PUCCH indicated by DCI format 1_1/2.</w:t>
            </w:r>
          </w:p>
          <w:p>
            <w:pPr>
              <w:snapToGrid w:val="0"/>
              <w:spacing w:before="72" w:beforeLines="30" w:after="72" w:afterLines="30" w:line="288" w:lineRule="auto"/>
              <w:jc w:val="both"/>
              <w:rPr>
                <w:rFonts w:eastAsia="宋体"/>
              </w:rPr>
            </w:pPr>
            <w:r>
              <w:rPr>
                <w:rFonts w:hint="eastAsia" w:eastAsia="宋体"/>
              </w:rPr>
              <w:t>Step-2: </w:t>
            </w:r>
          </w:p>
          <w:p>
            <w:pPr>
              <w:snapToGrid w:val="0"/>
              <w:spacing w:before="72" w:beforeLines="30" w:after="72" w:afterLines="30" w:line="288" w:lineRule="auto"/>
              <w:jc w:val="both"/>
              <w:rPr>
                <w:rFonts w:eastAsia="宋体"/>
              </w:rPr>
            </w:pPr>
            <w:r>
              <w:rPr>
                <w:rFonts w:hint="eastAsia" w:eastAsia="宋体"/>
              </w:rPr>
              <w:t>Payload size of the UCI is determined according to the report configuration;</w:t>
            </w:r>
          </w:p>
          <w:p>
            <w:pPr>
              <w:snapToGrid w:val="0"/>
              <w:spacing w:before="72" w:beforeLines="30" w:after="72" w:afterLines="30" w:line="288" w:lineRule="auto"/>
              <w:jc w:val="both"/>
              <w:rPr>
                <w:rFonts w:eastAsia="宋体"/>
              </w:rPr>
            </w:pPr>
            <w:r>
              <w:rPr>
                <w:rFonts w:hint="eastAsia" w:eastAsia="宋体"/>
              </w:rPr>
              <w:t>Step-3: The actual N</w:t>
            </w:r>
            <w:r>
              <w:rPr>
                <w:rFonts w:hint="eastAsia" w:eastAsia="宋体"/>
                <w:vertAlign w:val="subscript"/>
              </w:rPr>
              <w:t>RB</w:t>
            </w:r>
            <w:r>
              <w:rPr>
                <w:rFonts w:hint="eastAsia" w:eastAsia="宋体"/>
              </w:rPr>
              <w:t> and/or N</w:t>
            </w:r>
            <w:r>
              <w:rPr>
                <w:rFonts w:hint="eastAsia" w:eastAsia="宋体"/>
                <w:vertAlign w:val="subscript"/>
              </w:rPr>
              <w:t>symbol</w:t>
            </w:r>
            <w:r>
              <w:rPr>
                <w:rFonts w:hint="eastAsia" w:eastAsia="宋体"/>
              </w:rPr>
              <w:t> used for UCI transmission in the PUCCH resource is determined according to Payload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MU-MIMO/</w:t>
            </w:r>
            <w:r>
              <w:rPr>
                <w:rFonts w:eastAsia="宋体"/>
              </w:rPr>
              <w:t>spatial multiplexing</w:t>
            </w:r>
          </w:p>
        </w:tc>
        <w:tc>
          <w:tcPr>
            <w:tcW w:w="7366" w:type="dxa"/>
          </w:tcPr>
          <w:p>
            <w:pPr>
              <w:snapToGrid w:val="0"/>
              <w:spacing w:before="72" w:beforeLines="30" w:after="72" w:afterLines="30" w:line="288" w:lineRule="auto"/>
              <w:jc w:val="both"/>
              <w:rPr>
                <w:rFonts w:eastAsia="宋体"/>
              </w:rPr>
            </w:pPr>
            <w:r>
              <w:rPr>
                <w:rFonts w:hint="eastAsia" w:eastAsia="宋体"/>
              </w:rPr>
              <w:t>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CSI dropping/omission</w:t>
            </w:r>
          </w:p>
        </w:tc>
        <w:tc>
          <w:tcPr>
            <w:tcW w:w="7366" w:type="dxa"/>
          </w:tcPr>
          <w:p>
            <w:pPr>
              <w:snapToGrid w:val="0"/>
              <w:spacing w:before="72" w:beforeLines="30" w:after="72" w:afterLines="30" w:line="288" w:lineRule="auto"/>
              <w:jc w:val="both"/>
              <w:rPr>
                <w:rFonts w:eastAsia="宋体"/>
              </w:rPr>
            </w:pPr>
            <w:r>
              <w:rPr>
                <w:rFonts w:hint="eastAsia" w:eastAsia="宋体"/>
              </w:rPr>
              <w:t>Not needed if not multiplexed with other 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CRC attachment</w:t>
            </w:r>
          </w:p>
        </w:tc>
        <w:tc>
          <w:tcPr>
            <w:tcW w:w="7366" w:type="dxa"/>
          </w:tcPr>
          <w:p>
            <w:pPr>
              <w:snapToGrid w:val="0"/>
              <w:spacing w:before="72" w:beforeLines="30" w:after="72" w:afterLines="30" w:line="288" w:lineRule="auto"/>
              <w:jc w:val="both"/>
              <w:rPr>
                <w:rFonts w:eastAsia="宋体"/>
              </w:rPr>
            </w:pPr>
            <w:r>
              <w:rPr>
                <w:rFonts w:hint="eastAsia" w:eastAsia="宋体"/>
              </w:rPr>
              <w:t xml:space="preserve">Enabled if </w:t>
            </w:r>
            <w:r>
              <w:rPr>
                <w:rFonts w:eastAsia="宋体"/>
              </w:rPr>
              <w:t>‘</w:t>
            </w:r>
            <w:r>
              <w:rPr>
                <w:rFonts w:hint="eastAsia" w:eastAsia="宋体"/>
              </w:rPr>
              <w:t>Payload size</w:t>
            </w:r>
            <w:r>
              <w:rPr>
                <w:rFonts w:eastAsia="宋体"/>
              </w:rPr>
              <w:t>’</w:t>
            </w:r>
            <w:r>
              <w:rPr>
                <w:rFonts w:hint="eastAsia" w:eastAsia="宋体"/>
              </w:rPr>
              <w:t xml:space="preserve"> &gt; 11</w:t>
            </w:r>
          </w:p>
        </w:tc>
      </w:tr>
    </w:tbl>
    <w:p>
      <w:pPr>
        <w:snapToGrid w:val="0"/>
        <w:spacing w:before="72" w:beforeLines="30" w:after="72" w:afterLines="30" w:line="288" w:lineRule="auto"/>
        <w:jc w:val="center"/>
        <w:rPr>
          <w:rFonts w:eastAsia="宋体"/>
        </w:rPr>
      </w:pPr>
      <w:r>
        <w:rPr>
          <w:rFonts w:hint="eastAsia" w:eastAsia="宋体"/>
          <w:b/>
          <w:bCs/>
        </w:rPr>
        <w:t>Table 2</w:t>
      </w:r>
      <w:r>
        <w:rPr>
          <w:rFonts w:hint="eastAsia" w:eastAsia="宋体"/>
        </w:rPr>
        <w:t xml:space="preserve"> UE reporting legacy CSI on PUSCH</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7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p>
        </w:tc>
        <w:tc>
          <w:tcPr>
            <w:tcW w:w="7366" w:type="dxa"/>
          </w:tcPr>
          <w:p>
            <w:pPr>
              <w:snapToGrid w:val="0"/>
              <w:spacing w:before="72" w:beforeLines="30" w:after="72" w:afterLines="30" w:line="288" w:lineRule="auto"/>
              <w:jc w:val="center"/>
              <w:rPr>
                <w:rFonts w:eastAsia="宋体"/>
              </w:rPr>
            </w:pPr>
            <w:r>
              <w:rPr>
                <w:b/>
                <w:bCs/>
                <w:szCs w:val="20"/>
              </w:rPr>
              <w:t>UCI</w:t>
            </w:r>
            <w:r>
              <w:rPr>
                <w:rFonts w:hint="eastAsia" w:eastAsia="宋体"/>
                <w:b/>
                <w:bCs/>
                <w:szCs w:val="20"/>
              </w:rPr>
              <w:t>(CSI)</w:t>
            </w:r>
            <w:r>
              <w:rPr>
                <w:b/>
                <w:bCs/>
                <w:szCs w:val="20"/>
              </w:rPr>
              <w:t> on </w:t>
            </w:r>
            <w:r>
              <w:rPr>
                <w:rFonts w:hint="eastAsia" w:eastAsia="宋体"/>
                <w:b/>
                <w:bCs/>
                <w:szCs w:val="20"/>
              </w:rPr>
              <w:t>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Resource allocation</w:t>
            </w:r>
          </w:p>
        </w:tc>
        <w:tc>
          <w:tcPr>
            <w:tcW w:w="7366" w:type="dxa"/>
          </w:tcPr>
          <w:p>
            <w:pPr>
              <w:snapToGrid w:val="0"/>
              <w:spacing w:before="72" w:beforeLines="30" w:after="72" w:afterLines="30" w:line="288" w:lineRule="auto"/>
              <w:jc w:val="both"/>
              <w:rPr>
                <w:rFonts w:eastAsia="宋体"/>
              </w:rPr>
            </w:pPr>
            <w:r>
              <w:rPr>
                <w:rFonts w:hint="eastAsia" w:eastAsia="宋体"/>
              </w:rPr>
              <w:t>PUSCH scheduled by DCI format</w:t>
            </w:r>
            <w:r>
              <w:rPr>
                <w:rFonts w:eastAsia="宋体"/>
              </w:rPr>
              <w:t>s</w:t>
            </w:r>
            <w:r>
              <w:rPr>
                <w:rFonts w:hint="eastAsia" w:eastAsia="宋体"/>
              </w:rPr>
              <w:t xml:space="preserve"> 0_1/2 for SP CSI on PUSCH or AP CSI.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UCI reporting procedure</w:t>
            </w:r>
          </w:p>
        </w:tc>
        <w:tc>
          <w:tcPr>
            <w:tcW w:w="7366" w:type="dxa"/>
          </w:tcPr>
          <w:p>
            <w:pPr>
              <w:snapToGrid w:val="0"/>
              <w:spacing w:before="72" w:beforeLines="30" w:after="72" w:afterLines="30" w:line="288" w:lineRule="auto"/>
              <w:jc w:val="both"/>
              <w:rPr>
                <w:rFonts w:eastAsia="宋体"/>
              </w:rPr>
            </w:pPr>
            <w:r>
              <w:rPr>
                <w:rFonts w:hint="eastAsia" w:eastAsia="宋体"/>
              </w:rPr>
              <w:t>Step-1:</w:t>
            </w:r>
          </w:p>
          <w:p>
            <w:pPr>
              <w:snapToGrid w:val="0"/>
              <w:spacing w:before="72" w:beforeLines="30" w:after="72" w:afterLines="30" w:line="288" w:lineRule="auto"/>
              <w:jc w:val="both"/>
              <w:rPr>
                <w:rFonts w:eastAsia="宋体"/>
              </w:rPr>
            </w:pPr>
            <w:r>
              <w:rPr>
                <w:rFonts w:hint="eastAsia" w:eastAsia="宋体"/>
              </w:rPr>
              <w:t>The uplink resource in FD (e.g., #. RB) / TD (e.g., # symbols) / SD (e.g., precoding) is determined according to the DCI format, regardless of payload size of CSI;</w:t>
            </w:r>
          </w:p>
          <w:p>
            <w:pPr>
              <w:snapToGrid w:val="0"/>
              <w:spacing w:before="72" w:beforeLines="30" w:after="72" w:afterLines="30" w:line="288" w:lineRule="auto"/>
              <w:jc w:val="both"/>
              <w:rPr>
                <w:rFonts w:eastAsia="宋体"/>
              </w:rPr>
            </w:pPr>
            <w:r>
              <w:rPr>
                <w:rFonts w:hint="eastAsia" w:eastAsia="宋体"/>
              </w:rPr>
              <w:t>Step-2: </w:t>
            </w:r>
          </w:p>
          <w:p>
            <w:pPr>
              <w:snapToGrid w:val="0"/>
              <w:spacing w:before="72" w:beforeLines="30" w:after="72" w:afterLines="30" w:line="288" w:lineRule="auto"/>
              <w:jc w:val="both"/>
              <w:rPr>
                <w:rFonts w:eastAsia="宋体"/>
              </w:rPr>
            </w:pPr>
            <w:r>
              <w:rPr>
                <w:rFonts w:hint="eastAsia" w:eastAsia="宋体"/>
              </w:rPr>
              <w:t>If actual payload of CSI is less than the PUSCH capacity (i.e., the maximum payload size), the rest is reserved/used for UL data;</w:t>
            </w:r>
          </w:p>
          <w:p>
            <w:pPr>
              <w:snapToGrid w:val="0"/>
              <w:spacing w:before="72" w:beforeLines="30" w:after="72" w:afterLines="30" w:line="288" w:lineRule="auto"/>
              <w:jc w:val="both"/>
              <w:rPr>
                <w:rFonts w:eastAsia="宋体"/>
              </w:rPr>
            </w:pPr>
            <w:r>
              <w:rPr>
                <w:rFonts w:hint="eastAsia" w:eastAsia="宋体"/>
              </w:rPr>
              <w:t>Else if actual payload of UCI is greater than the PUSCH capacity, omission rule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MU-MIMO/</w:t>
            </w:r>
            <w:r>
              <w:rPr>
                <w:rFonts w:eastAsia="宋体"/>
              </w:rPr>
              <w:t>spatial multiplexing</w:t>
            </w:r>
          </w:p>
        </w:tc>
        <w:tc>
          <w:tcPr>
            <w:tcW w:w="7366" w:type="dxa"/>
          </w:tcPr>
          <w:p>
            <w:pPr>
              <w:snapToGrid w:val="0"/>
              <w:spacing w:before="72" w:beforeLines="30" w:after="72" w:afterLines="30" w:line="288" w:lineRule="auto"/>
              <w:jc w:val="both"/>
              <w:rPr>
                <w:rFonts w:eastAsia="宋体"/>
              </w:rPr>
            </w:pPr>
            <w:r>
              <w:rPr>
                <w:rFonts w:hint="eastAsia" w:eastAsia="宋体"/>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CSI dropping/omission</w:t>
            </w:r>
          </w:p>
        </w:tc>
        <w:tc>
          <w:tcPr>
            <w:tcW w:w="7366" w:type="dxa"/>
          </w:tcPr>
          <w:p>
            <w:pPr>
              <w:snapToGrid w:val="0"/>
              <w:spacing w:before="72" w:beforeLines="30" w:after="72" w:afterLines="30" w:line="288" w:lineRule="auto"/>
              <w:jc w:val="both"/>
              <w:rPr>
                <w:rFonts w:eastAsia="宋体"/>
              </w:rPr>
            </w:pPr>
            <w:r>
              <w:rPr>
                <w:rFonts w:hint="eastAsia" w:eastAsia="宋体"/>
              </w:rPr>
              <w:t>Not needed if not multiplexed with other UCI or UL-SCH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tcPr>
          <w:p>
            <w:pPr>
              <w:snapToGrid w:val="0"/>
              <w:spacing w:before="72" w:beforeLines="30" w:after="72" w:afterLines="30" w:line="288" w:lineRule="auto"/>
              <w:jc w:val="both"/>
              <w:rPr>
                <w:rFonts w:eastAsia="宋体"/>
              </w:rPr>
            </w:pPr>
            <w:r>
              <w:rPr>
                <w:rFonts w:hint="eastAsia" w:eastAsia="宋体"/>
              </w:rPr>
              <w:t>CRC attachment</w:t>
            </w:r>
          </w:p>
        </w:tc>
        <w:tc>
          <w:tcPr>
            <w:tcW w:w="7366" w:type="dxa"/>
          </w:tcPr>
          <w:p>
            <w:pPr>
              <w:snapToGrid w:val="0"/>
              <w:spacing w:before="72" w:beforeLines="30" w:after="72" w:afterLines="30" w:line="288" w:lineRule="auto"/>
              <w:jc w:val="both"/>
              <w:rPr>
                <w:rFonts w:eastAsia="宋体"/>
              </w:rPr>
            </w:pPr>
            <w:r>
              <w:rPr>
                <w:rFonts w:hint="eastAsia" w:eastAsia="宋体"/>
              </w:rPr>
              <w:t xml:space="preserve">Enabled if </w:t>
            </w:r>
            <w:r>
              <w:rPr>
                <w:rFonts w:eastAsia="宋体"/>
              </w:rPr>
              <w:t>‘</w:t>
            </w:r>
            <w:r>
              <w:rPr>
                <w:rFonts w:hint="eastAsia" w:eastAsia="宋体"/>
              </w:rPr>
              <w:t>Payload size</w:t>
            </w:r>
            <w:r>
              <w:rPr>
                <w:rFonts w:eastAsia="宋体"/>
              </w:rPr>
              <w:t>’</w:t>
            </w:r>
            <w:r>
              <w:rPr>
                <w:rFonts w:hint="eastAsia" w:eastAsia="宋体"/>
              </w:rPr>
              <w:t xml:space="preserve"> &gt; 11</w:t>
            </w:r>
          </w:p>
        </w:tc>
      </w:tr>
    </w:tbl>
    <w:p>
      <w:pPr>
        <w:snapToGrid w:val="0"/>
        <w:spacing w:before="72" w:beforeLines="30" w:after="72" w:afterLines="30" w:line="288" w:lineRule="auto"/>
        <w:jc w:val="both"/>
        <w:rPr>
          <w:rFonts w:eastAsia="宋体"/>
        </w:rPr>
      </w:pPr>
      <w:r>
        <w:rPr>
          <w:rFonts w:hint="eastAsia" w:eastAsia="宋体"/>
        </w:rPr>
        <w:t xml:space="preserve">It can be concluded that due to network knows the payload size of a legacy CSI report no matter it is AP CSI, SP CSI or P CSI and no matter it is carried in PUCCH or PUSCH, there is no need to specify CSI dropping/omission issues if </w:t>
      </w:r>
      <w:r>
        <w:rPr>
          <w:rFonts w:eastAsia="宋体"/>
        </w:rPr>
        <w:t>not</w:t>
      </w:r>
      <w:r>
        <w:rPr>
          <w:rFonts w:hint="eastAsia" w:eastAsia="宋体"/>
        </w:rPr>
        <w:t xml:space="preserve"> considering multiplexing. In other words, the uplink resource configured or scheduled for the CSI report should be capable of carrying the total payload of corresponding CSI report before multiplexing procedure.   </w:t>
      </w:r>
    </w:p>
    <w:p>
      <w:pPr>
        <w:snapToGrid w:val="0"/>
        <w:spacing w:before="72" w:beforeLines="30" w:after="72" w:afterLines="30" w:line="288" w:lineRule="auto"/>
        <w:ind w:left="-20"/>
        <w:jc w:val="both"/>
        <w:rPr>
          <w:rFonts w:eastAsia="宋体"/>
        </w:rPr>
      </w:pPr>
      <w:r>
        <w:rPr>
          <w:rFonts w:hint="eastAsia" w:eastAsia="宋体"/>
        </w:rPr>
        <w:t>According to the analyses above, considerations on the second UL channel for Mode A and Mode B are</w:t>
      </w:r>
      <w:r>
        <w:rPr>
          <w:rFonts w:eastAsia="宋体"/>
        </w:rPr>
        <w:t xml:space="preserve"> taken</w:t>
      </w:r>
      <w:r>
        <w:rPr>
          <w:rFonts w:hint="eastAsia" w:eastAsia="宋体"/>
        </w:rPr>
        <w:t xml:space="preserve"> as follows.</w:t>
      </w:r>
    </w:p>
    <w:p>
      <w:pPr>
        <w:numPr>
          <w:ilvl w:val="0"/>
          <w:numId w:val="16"/>
        </w:numPr>
        <w:snapToGrid w:val="0"/>
        <w:spacing w:before="72" w:beforeLines="30" w:after="72" w:afterLines="30" w:line="288" w:lineRule="auto"/>
        <w:ind w:left="340" w:hanging="360"/>
        <w:jc w:val="both"/>
        <w:rPr>
          <w:rFonts w:eastAsia="宋体"/>
          <w:b/>
          <w:bCs/>
        </w:rPr>
      </w:pPr>
      <w:r>
        <w:rPr>
          <w:rFonts w:hint="eastAsia" w:eastAsia="宋体"/>
          <w:b/>
          <w:bCs/>
        </w:rPr>
        <w:t>Mode A</w:t>
      </w:r>
    </w:p>
    <w:p>
      <w:pPr>
        <w:numPr>
          <w:ilvl w:val="1"/>
          <w:numId w:val="17"/>
        </w:numPr>
        <w:snapToGrid w:val="0"/>
        <w:spacing w:before="72" w:beforeLines="30" w:after="72" w:afterLines="30" w:line="288" w:lineRule="auto"/>
        <w:jc w:val="both"/>
        <w:rPr>
          <w:rFonts w:eastAsia="宋体"/>
        </w:rPr>
      </w:pPr>
      <w:r>
        <w:rPr>
          <w:rFonts w:hint="eastAsia" w:eastAsia="宋体"/>
        </w:rPr>
        <w:t xml:space="preserve">Dynamically indicating a PUCCH resource for UCI transmission is specific to HARQ-ACK information, since HARQ-ACK codebook is generated based on the receptions of PDSCHs within a number of slots (e.g., determined by K1 set) or based on DAI field indicated in the DL scheduling DCI format, and the payload size of a HARQ-ACK codebook on a PUCCH varies according to the DL scheduling DCI formats received before the PUCCH. Although the payload size of UEIBR can be variable as well, the variety does not depend on the downlink scheduling at all. Therefore, it is a </w:t>
      </w:r>
      <w:r>
        <w:rPr>
          <w:rFonts w:eastAsia="宋体"/>
        </w:rPr>
        <w:t>complicated</w:t>
      </w:r>
      <w:r>
        <w:rPr>
          <w:rFonts w:hint="eastAsia" w:eastAsia="宋体"/>
        </w:rPr>
        <w:t xml:space="preserve"> issue to transmit UEIBR on PUCCH indicated by a DCI format 1_X. </w:t>
      </w:r>
    </w:p>
    <w:p>
      <w:pPr>
        <w:numPr>
          <w:ilvl w:val="1"/>
          <w:numId w:val="17"/>
        </w:numPr>
        <w:snapToGrid w:val="0"/>
        <w:spacing w:before="72" w:beforeLines="30" w:after="72" w:afterLines="30" w:line="288" w:lineRule="auto"/>
        <w:jc w:val="both"/>
        <w:rPr>
          <w:rFonts w:eastAsia="宋体"/>
          <w:b/>
          <w:bCs/>
        </w:rPr>
      </w:pPr>
      <w:r>
        <w:rPr>
          <w:rFonts w:hint="eastAsia" w:eastAsia="宋体"/>
        </w:rPr>
        <w:t>It is straightforward that the second UL channel is PUSCH, either for the reason that the first PUCCH can be considered as SR or that Mode A is similar as an AP-CSI reporting procedure. As mentioned before, the first PUCCH should be configured commonly for all the report configurations. After receiving the first PUCCH requesting a PUSCH resource, network cannot know the number of triggered beam reports and the corresponding report configuration IDs, hence the scheduled PUSCH might be not capable of carrying all the triggered beam reports. Then, CSI omission rule based on CSI priority value can be reused to handle the issue.</w:t>
      </w:r>
    </w:p>
    <w:p>
      <w:pPr>
        <w:snapToGrid w:val="0"/>
        <w:spacing w:before="72" w:beforeLines="30" w:after="72" w:afterLines="30" w:line="288" w:lineRule="auto"/>
        <w:jc w:val="both"/>
        <w:rPr>
          <w:rFonts w:eastAsia="宋体"/>
          <w:i/>
          <w:iCs/>
        </w:rPr>
      </w:pPr>
      <w:r>
        <w:rPr>
          <w:rFonts w:hint="eastAsia" w:eastAsia="宋体"/>
          <w:b/>
          <w:bCs/>
          <w:i/>
          <w:iCs/>
        </w:rPr>
        <w:t>Proposal 8:</w:t>
      </w:r>
      <w:r>
        <w:rPr>
          <w:rFonts w:hint="eastAsia" w:eastAsia="宋体"/>
          <w:i/>
          <w:iCs/>
        </w:rPr>
        <w:t xml:space="preserve"> Regarding the second UL channel for Mode A for UE-initiated/event-driven beam reporting, support that the second UL channel is PUSCH.</w:t>
      </w:r>
    </w:p>
    <w:p>
      <w:pPr>
        <w:numPr>
          <w:ilvl w:val="0"/>
          <w:numId w:val="10"/>
        </w:numPr>
        <w:snapToGrid w:val="0"/>
        <w:spacing w:before="72" w:beforeLines="30" w:after="72" w:afterLines="30" w:line="288" w:lineRule="auto"/>
        <w:jc w:val="both"/>
        <w:rPr>
          <w:rFonts w:eastAsia="宋体"/>
        </w:rPr>
      </w:pPr>
      <w:r>
        <w:rPr>
          <w:rFonts w:hint="eastAsia" w:eastAsia="宋体"/>
          <w:i/>
          <w:iCs/>
          <w:szCs w:val="20"/>
        </w:rPr>
        <w:t>FFS: Whether/how to reuse CSI omission rule to handle the case that the second UL channel is not capable of carrying all the beam reports.</w:t>
      </w:r>
    </w:p>
    <w:p>
      <w:pPr>
        <w:numPr>
          <w:ilvl w:val="0"/>
          <w:numId w:val="16"/>
        </w:numPr>
        <w:snapToGrid w:val="0"/>
        <w:spacing w:before="72" w:beforeLines="30" w:after="72" w:afterLines="30" w:line="288" w:lineRule="auto"/>
        <w:ind w:left="340" w:hanging="360"/>
        <w:jc w:val="both"/>
        <w:rPr>
          <w:rFonts w:eastAsia="宋体"/>
          <w:b/>
          <w:bCs/>
        </w:rPr>
      </w:pPr>
      <w:r>
        <w:rPr>
          <w:rFonts w:hint="eastAsia" w:eastAsia="宋体"/>
          <w:b/>
          <w:bCs/>
        </w:rPr>
        <w:t>Mode B</w:t>
      </w:r>
    </w:p>
    <w:p>
      <w:pPr>
        <w:numPr>
          <w:ilvl w:val="1"/>
          <w:numId w:val="17"/>
        </w:numPr>
        <w:snapToGrid w:val="0"/>
        <w:spacing w:before="72" w:beforeLines="30" w:after="72" w:afterLines="30" w:line="288" w:lineRule="auto"/>
        <w:jc w:val="both"/>
        <w:rPr>
          <w:rFonts w:eastAsia="宋体"/>
          <w:b/>
          <w:bCs/>
          <w:u w:val="single"/>
        </w:rPr>
      </w:pPr>
      <w:r>
        <w:rPr>
          <w:rFonts w:hint="eastAsia" w:eastAsia="宋体"/>
          <w:b/>
          <w:bCs/>
          <w:u w:val="single"/>
        </w:rPr>
        <w:t>The configuration of the second UL channel</w:t>
      </w:r>
    </w:p>
    <w:p>
      <w:pPr>
        <w:numPr>
          <w:ilvl w:val="2"/>
          <w:numId w:val="17"/>
        </w:numPr>
        <w:snapToGrid w:val="0"/>
        <w:spacing w:before="72" w:beforeLines="30" w:after="72" w:afterLines="30" w:line="288" w:lineRule="auto"/>
        <w:jc w:val="both"/>
        <w:rPr>
          <w:rFonts w:eastAsia="宋体"/>
        </w:rPr>
      </w:pPr>
      <w:r>
        <w:rPr>
          <w:rFonts w:hint="eastAsia" w:eastAsia="宋体"/>
        </w:rPr>
        <w:t xml:space="preserve">It has been agreed that </w:t>
      </w:r>
      <w:r>
        <w:rPr>
          <w:rFonts w:hint="eastAsia"/>
        </w:rPr>
        <w:t>c</w:t>
      </w:r>
      <w:r>
        <w:t>ross-</w:t>
      </w:r>
      <w:r>
        <w:rPr>
          <w:rFonts w:hint="eastAsia"/>
        </w:rPr>
        <w:t>CC</w:t>
      </w:r>
      <w:r>
        <w:t xml:space="preserve"> beam reporting is supported for both modes</w:t>
      </w:r>
      <w:r>
        <w:rPr>
          <w:rFonts w:hint="eastAsia"/>
        </w:rPr>
        <w:t xml:space="preserve">, besides the rule that measurement RSs and the CSI report can be associated with different cells in legacy, it is worthy discussing </w:t>
      </w:r>
      <w:r>
        <w:t xml:space="preserve">that </w:t>
      </w:r>
      <w:r>
        <w:rPr>
          <w:rFonts w:hint="eastAsia"/>
        </w:rPr>
        <w:t>UEIBRs corresponding to report configurations on different cells are transmitted on the same second UL channel.</w:t>
      </w:r>
    </w:p>
    <w:p>
      <w:pPr>
        <w:numPr>
          <w:ilvl w:val="2"/>
          <w:numId w:val="17"/>
        </w:numPr>
        <w:snapToGrid w:val="0"/>
        <w:spacing w:before="72" w:beforeLines="30" w:after="72" w:afterLines="30" w:line="288" w:lineRule="auto"/>
        <w:jc w:val="both"/>
        <w:rPr>
          <w:rFonts w:eastAsia="宋体"/>
        </w:rPr>
      </w:pPr>
      <w:r>
        <w:rPr>
          <w:rFonts w:hint="eastAsia"/>
        </w:rPr>
        <w:t xml:space="preserve">As shown in Figure 3, triggering of UEIBR of different report configurations for a UE can be quite </w:t>
      </w:r>
      <w:r>
        <w:t>sparse</w:t>
      </w:r>
      <w:r>
        <w:rPr>
          <w:rFonts w:hint="eastAsia"/>
        </w:rPr>
        <w:t xml:space="preserve"> in time domain, hence a UEIBR might be triggered only once </w:t>
      </w:r>
      <w:r>
        <w:rPr>
          <w:rFonts w:hint="eastAsia" w:eastAsia="宋体"/>
        </w:rPr>
        <w:t>in a time duration in which multiple transmission occasions of the second UL channel are available</w:t>
      </w:r>
      <w:r>
        <w:rPr>
          <w:rFonts w:hint="eastAsia"/>
        </w:rPr>
        <w:t>. But if taking report configurations on all the cells into account, the probability of at least one beam report is triggered before the second UL channel transmission occasion can be much higher. As shown in Figure 4, configuring a common uplink resource</w:t>
      </w:r>
      <w:r>
        <w:t xml:space="preserve"> shared between different cells</w:t>
      </w:r>
      <w:r>
        <w:rPr>
          <w:rFonts w:hint="eastAsia"/>
        </w:rPr>
        <w:t xml:space="preserve"> for the second UL channels to carry UEIBRs is beneficial </w:t>
      </w:r>
      <w:r>
        <w:t>for improving</w:t>
      </w:r>
      <w:r>
        <w:rPr>
          <w:rFonts w:hint="eastAsia"/>
        </w:rPr>
        <w:t xml:space="preserve"> resource efficiency.</w:t>
      </w:r>
    </w:p>
    <w:p>
      <w:pPr>
        <w:numPr>
          <w:ilvl w:val="2"/>
          <w:numId w:val="17"/>
        </w:numPr>
        <w:snapToGrid w:val="0"/>
        <w:spacing w:before="72" w:beforeLines="30" w:after="72" w:afterLines="30" w:line="288" w:lineRule="auto"/>
        <w:jc w:val="both"/>
        <w:rPr>
          <w:rFonts w:eastAsia="宋体"/>
        </w:rPr>
      </w:pPr>
      <w:r>
        <w:rPr>
          <w:rFonts w:hint="eastAsia"/>
        </w:rPr>
        <w:t xml:space="preserve">Furthermore, note that if the second UL channel is configured per report configuration, </w:t>
      </w:r>
      <w:r>
        <w:t>NW</w:t>
      </w:r>
      <w:r>
        <w:rPr>
          <w:rFonts w:hint="eastAsia"/>
        </w:rPr>
        <w:t xml:space="preserve"> might need to detect all the configured uplink resources due to the first PUCCH does not indicate which UEIBR is triggered.   </w:t>
      </w:r>
    </w:p>
    <w:p>
      <w:pPr>
        <w:snapToGrid w:val="0"/>
        <w:spacing w:before="72" w:beforeLines="30" w:after="72" w:afterLines="30" w:line="288" w:lineRule="auto"/>
        <w:jc w:val="center"/>
      </w:pPr>
    </w:p>
    <w:p>
      <w:pPr>
        <w:snapToGrid w:val="0"/>
        <w:spacing w:before="72" w:beforeLines="30" w:after="72" w:afterLines="30" w:line="288" w:lineRule="auto"/>
        <w:jc w:val="center"/>
      </w:pPr>
      <w:r>
        <w:object>
          <v:shape id="_x0000_i1037" o:spt="75" type="#_x0000_t75" style="height:126pt;width:335pt;" o:ole="t" filled="f" o:preferrelative="t" stroked="f" coordsize="21600,21600">
            <v:path/>
            <v:fill on="f" focussize="0,0"/>
            <v:stroke on="f" joinstyle="miter"/>
            <v:imagedata r:id="rId20" o:title=""/>
            <o:lock v:ext="edit" aspectratio="t"/>
            <w10:wrap type="none"/>
            <w10:anchorlock/>
          </v:shape>
          <o:OLEObject Type="Embed" ProgID="Visio.Drawing.11" ShapeID="_x0000_i1037" DrawAspect="Content" ObjectID="_1468075731" r:id="rId19">
            <o:LockedField>false</o:LockedField>
          </o:OLEObject>
        </w:object>
      </w:r>
    </w:p>
    <w:p>
      <w:pPr>
        <w:numPr>
          <w:ilvl w:val="255"/>
          <w:numId w:val="0"/>
        </w:numPr>
        <w:snapToGrid w:val="0"/>
        <w:spacing w:before="72" w:beforeLines="30" w:after="72" w:afterLines="30" w:line="288" w:lineRule="auto"/>
        <w:jc w:val="center"/>
      </w:pPr>
      <w:r>
        <w:rPr>
          <w:rFonts w:hint="eastAsia" w:eastAsia="宋体"/>
          <w:b/>
          <w:bCs/>
        </w:rPr>
        <w:t>Figure 3</w:t>
      </w:r>
      <w:r>
        <w:rPr>
          <w:rFonts w:hint="eastAsia" w:eastAsia="宋体"/>
        </w:rPr>
        <w:t xml:space="preserve"> UEIBR transmissions on report configuration specific uplink resources</w:t>
      </w:r>
    </w:p>
    <w:p>
      <w:pPr>
        <w:snapToGrid w:val="0"/>
        <w:spacing w:before="72" w:beforeLines="30" w:after="72" w:afterLines="30" w:line="288" w:lineRule="auto"/>
        <w:jc w:val="center"/>
      </w:pPr>
      <w:r>
        <w:object>
          <v:shape id="_x0000_i1038" o:spt="75" type="#_x0000_t75" style="height:126pt;width:335pt;" o:ole="t" filled="f" o:preferrelative="t" stroked="f" coordsize="21600,21600">
            <v:path/>
            <v:fill on="f" focussize="0,0"/>
            <v:stroke on="f" joinstyle="miter"/>
            <v:imagedata r:id="rId22" o:title=""/>
            <o:lock v:ext="edit" aspectratio="t"/>
            <w10:wrap type="none"/>
            <w10:anchorlock/>
          </v:shape>
          <o:OLEObject Type="Embed" ProgID="Visio.Drawing.11" ShapeID="_x0000_i1038" DrawAspect="Content" ObjectID="_1468075732" r:id="rId21">
            <o:LockedField>false</o:LockedField>
          </o:OLEObject>
        </w:object>
      </w:r>
    </w:p>
    <w:p>
      <w:pPr>
        <w:snapToGrid w:val="0"/>
        <w:spacing w:before="72" w:beforeLines="30" w:after="72" w:afterLines="30" w:line="288" w:lineRule="auto"/>
        <w:jc w:val="center"/>
        <w:rPr>
          <w:rFonts w:eastAsia="宋体"/>
        </w:rPr>
      </w:pPr>
      <w:r>
        <w:rPr>
          <w:rFonts w:hint="eastAsia" w:eastAsia="宋体"/>
          <w:b/>
          <w:bCs/>
        </w:rPr>
        <w:t>Figure 4</w:t>
      </w:r>
      <w:r>
        <w:rPr>
          <w:rFonts w:hint="eastAsia" w:eastAsia="宋体"/>
        </w:rPr>
        <w:t xml:space="preserve"> UEIBR transmissions on a common uplink resource</w:t>
      </w:r>
    </w:p>
    <w:p>
      <w:pPr>
        <w:numPr>
          <w:ilvl w:val="1"/>
          <w:numId w:val="17"/>
        </w:numPr>
        <w:snapToGrid w:val="0"/>
        <w:spacing w:before="72" w:beforeLines="30" w:after="72" w:afterLines="30" w:line="288" w:lineRule="auto"/>
        <w:jc w:val="both"/>
        <w:rPr>
          <w:rFonts w:eastAsia="宋体"/>
          <w:u w:val="single"/>
        </w:rPr>
      </w:pPr>
      <w:r>
        <w:rPr>
          <w:rFonts w:hint="eastAsia" w:eastAsia="宋体"/>
          <w:b/>
          <w:bCs/>
          <w:u w:val="single"/>
        </w:rPr>
        <w:t>Payload size of UCI on the second UL channel</w:t>
      </w:r>
    </w:p>
    <w:p>
      <w:pPr>
        <w:numPr>
          <w:ilvl w:val="2"/>
          <w:numId w:val="17"/>
        </w:numPr>
        <w:snapToGrid w:val="0"/>
        <w:spacing w:before="72" w:beforeLines="30" w:after="72" w:afterLines="30" w:line="288" w:lineRule="auto"/>
        <w:jc w:val="both"/>
        <w:rPr>
          <w:rFonts w:eastAsia="宋体"/>
        </w:rPr>
      </w:pPr>
      <w:r>
        <w:rPr>
          <w:rFonts w:hint="eastAsia" w:eastAsia="宋体"/>
        </w:rPr>
        <w:t>Although the payload size of a given UEIBR might be fixed if the number of reported RSs is fixed as analyzed in section 3, the payload size of UCI carrying UEIBR can still be variable. As depicted in Figure 5 with regard</w:t>
      </w:r>
      <w:r>
        <w:rPr>
          <w:rFonts w:eastAsia="宋体"/>
        </w:rPr>
        <w:t>s</w:t>
      </w:r>
      <w:r>
        <w:rPr>
          <w:rFonts w:hint="eastAsia" w:eastAsia="宋体"/>
        </w:rPr>
        <w:t xml:space="preserve"> to Mode B, when three beam reports are triggered on different cells, the first PUCCH is transmitted to notify network that UCI containing UEIBR is transmitted on the pre-configured second UL channel. For the reason that payload size of each UEIBR can be different when their corresponding trigger event</w:t>
      </w:r>
      <w:r>
        <w:rPr>
          <w:rFonts w:eastAsia="宋体"/>
        </w:rPr>
        <w:t>s</w:t>
      </w:r>
      <w:r>
        <w:rPr>
          <w:rFonts w:hint="eastAsia" w:eastAsia="宋体"/>
        </w:rPr>
        <w:t xml:space="preserve"> and the fixed number of reported RSs are different, and </w:t>
      </w:r>
      <w:r>
        <w:rPr>
          <w:rFonts w:eastAsia="宋体"/>
        </w:rPr>
        <w:t>NW</w:t>
      </w:r>
      <w:r>
        <w:rPr>
          <w:rFonts w:hint="eastAsia" w:eastAsia="宋体"/>
        </w:rPr>
        <w:t xml:space="preserve"> does not know the number of UEIBRs carried on the second UL channel, </w:t>
      </w:r>
      <w:r>
        <w:rPr>
          <w:rFonts w:eastAsia="宋体"/>
        </w:rPr>
        <w:t xml:space="preserve">due to </w:t>
      </w:r>
      <w:r>
        <w:rPr>
          <w:rFonts w:hint="eastAsia" w:eastAsia="宋体"/>
        </w:rPr>
        <w:t>the payload size of UCI carrying UEIBR is variable.</w:t>
      </w:r>
    </w:p>
    <w:p>
      <w:pPr>
        <w:numPr>
          <w:ilvl w:val="2"/>
          <w:numId w:val="17"/>
        </w:numPr>
        <w:snapToGrid w:val="0"/>
        <w:spacing w:before="72" w:beforeLines="30" w:after="72" w:afterLines="30" w:line="288" w:lineRule="auto"/>
        <w:jc w:val="both"/>
        <w:rPr>
          <w:rFonts w:eastAsia="宋体"/>
        </w:rPr>
      </w:pPr>
      <w:r>
        <w:rPr>
          <w:rFonts w:hint="eastAsia" w:eastAsia="宋体"/>
        </w:rPr>
        <w:t xml:space="preserve">Therefore, analogous to the field indicating the number of reported RSs mentioned before, a field to indicate the payload size of UCI carrying UEIBR is needed. Otherwise, </w:t>
      </w:r>
      <w:r>
        <w:rPr>
          <w:rFonts w:eastAsia="宋体"/>
        </w:rPr>
        <w:t>NW</w:t>
      </w:r>
      <w:r>
        <w:rPr>
          <w:rFonts w:hint="eastAsia" w:eastAsia="宋体"/>
        </w:rPr>
        <w:t xml:space="preserve"> might need to configure a fixed payload size for UEIBR transmissions or to allow only UEIBRs can be transmitted on the second UL channel.</w:t>
      </w:r>
    </w:p>
    <w:p>
      <w:pPr>
        <w:numPr>
          <w:ilvl w:val="2"/>
          <w:numId w:val="17"/>
        </w:numPr>
        <w:snapToGrid w:val="0"/>
        <w:spacing w:before="72" w:beforeLines="30" w:after="72" w:afterLines="30" w:line="288" w:lineRule="auto"/>
        <w:jc w:val="both"/>
      </w:pPr>
      <w:r>
        <w:rPr>
          <w:rFonts w:hint="eastAsia" w:eastAsia="宋体"/>
        </w:rPr>
        <w:t xml:space="preserve">Similar as Mode A, the pre-configured uplink resource for the second UL channel might not be capable of carrying all the UEIBRs triggered to be transmitted on the same uplink resource, omission rule is needed as well.  </w:t>
      </w:r>
    </w:p>
    <w:p>
      <w:pPr>
        <w:snapToGrid w:val="0"/>
        <w:spacing w:before="72" w:beforeLines="30" w:after="72" w:afterLines="30" w:line="288" w:lineRule="auto"/>
        <w:ind w:left="380"/>
        <w:jc w:val="center"/>
      </w:pPr>
      <w:r>
        <w:object>
          <v:shape id="_x0000_i1039" o:spt="75" type="#_x0000_t75" style="height:133pt;width:335pt;" o:ole="t" filled="f" o:preferrelative="t" stroked="f" coordsize="21600,21600">
            <v:path/>
            <v:fill on="f" focussize="0,0"/>
            <v:stroke on="f" joinstyle="miter"/>
            <v:imagedata r:id="rId24" o:title=""/>
            <o:lock v:ext="edit" aspectratio="t"/>
            <w10:wrap type="none"/>
            <w10:anchorlock/>
          </v:shape>
          <o:OLEObject Type="Embed" ProgID="Visio.Drawing.11" ShapeID="_x0000_i1039" DrawAspect="Content" ObjectID="_1468075733" r:id="rId23">
            <o:LockedField>false</o:LockedField>
          </o:OLEObject>
        </w:object>
      </w:r>
    </w:p>
    <w:p>
      <w:pPr>
        <w:snapToGrid w:val="0"/>
        <w:spacing w:before="72" w:beforeLines="30" w:after="72" w:afterLines="30" w:line="288" w:lineRule="auto"/>
        <w:ind w:left="380"/>
        <w:jc w:val="center"/>
        <w:rPr>
          <w:rFonts w:eastAsia="宋体"/>
        </w:rPr>
      </w:pPr>
      <w:r>
        <w:rPr>
          <w:rFonts w:hint="eastAsia" w:eastAsia="宋体"/>
          <w:b/>
          <w:bCs/>
        </w:rPr>
        <w:t>Figure 5</w:t>
      </w:r>
      <w:r>
        <w:rPr>
          <w:rFonts w:hint="eastAsia" w:eastAsia="宋体"/>
        </w:rPr>
        <w:t xml:space="preserve"> Cross-CC UEIBR transmissions in Mode B</w:t>
      </w:r>
    </w:p>
    <w:p>
      <w:pPr>
        <w:numPr>
          <w:ilvl w:val="1"/>
          <w:numId w:val="17"/>
        </w:numPr>
        <w:snapToGrid w:val="0"/>
        <w:spacing w:before="72" w:beforeLines="30" w:after="72" w:afterLines="30" w:line="288" w:lineRule="auto"/>
        <w:jc w:val="both"/>
        <w:rPr>
          <w:rFonts w:eastAsia="宋体"/>
        </w:rPr>
      </w:pPr>
      <w:r>
        <w:rPr>
          <w:rFonts w:hint="eastAsia" w:eastAsia="宋体"/>
          <w:b/>
          <w:bCs/>
          <w:u w:val="single"/>
        </w:rPr>
        <w:t>PUCCH or PUSCH</w:t>
      </w:r>
    </w:p>
    <w:p>
      <w:pPr>
        <w:numPr>
          <w:ilvl w:val="2"/>
          <w:numId w:val="17"/>
        </w:numPr>
        <w:snapToGrid w:val="0"/>
        <w:spacing w:before="72" w:beforeLines="30" w:after="72" w:afterLines="30" w:line="288" w:lineRule="auto"/>
        <w:jc w:val="both"/>
        <w:rPr>
          <w:rFonts w:eastAsia="宋体"/>
        </w:rPr>
      </w:pPr>
      <w:r>
        <w:rPr>
          <w:rFonts w:hint="eastAsia" w:eastAsia="宋体"/>
        </w:rPr>
        <w:t xml:space="preserve">Note that the second UL channel in Mode A is </w:t>
      </w:r>
      <w:r>
        <w:rPr>
          <w:rFonts w:eastAsia="宋体"/>
        </w:rPr>
        <w:t>depending on NW</w:t>
      </w:r>
      <w:r>
        <w:rPr>
          <w:rFonts w:hint="eastAsia" w:eastAsia="宋体"/>
        </w:rPr>
        <w:t xml:space="preserve"> scheduling, uplink channel collisions between UEs can be prevented by </w:t>
      </w:r>
      <w:r>
        <w:rPr>
          <w:rFonts w:eastAsia="宋体"/>
        </w:rPr>
        <w:t>NW</w:t>
      </w:r>
      <w:r>
        <w:rPr>
          <w:rFonts w:hint="eastAsia" w:eastAsia="宋体"/>
        </w:rPr>
        <w:t xml:space="preserve">. However, for Mode B, uplink resources configured for different UEs should not be overlapped in time or frequency domain for different UEs to prevent from the collision issue. </w:t>
      </w:r>
      <w:r>
        <w:rPr>
          <w:rFonts w:eastAsia="宋体"/>
        </w:rPr>
        <w:t>Alternatively</w:t>
      </w:r>
      <w:r>
        <w:rPr>
          <w:rFonts w:hint="eastAsia" w:eastAsia="宋体"/>
        </w:rPr>
        <w:t>, spatial division</w:t>
      </w:r>
      <w:r>
        <w:rPr>
          <w:rFonts w:eastAsia="宋体"/>
        </w:rPr>
        <w:t xml:space="preserve"> multiplexing</w:t>
      </w:r>
      <w:r>
        <w:rPr>
          <w:rFonts w:hint="eastAsia" w:eastAsia="宋体"/>
        </w:rPr>
        <w:t xml:space="preserve"> based uplink transmissions of UEs should be supported.    </w:t>
      </w:r>
    </w:p>
    <w:p>
      <w:pPr>
        <w:numPr>
          <w:ilvl w:val="2"/>
          <w:numId w:val="17"/>
        </w:numPr>
        <w:snapToGrid w:val="0"/>
        <w:spacing w:before="72" w:beforeLines="30" w:after="72" w:afterLines="30" w:line="288" w:lineRule="auto"/>
        <w:jc w:val="both"/>
        <w:rPr>
          <w:rFonts w:eastAsia="宋体"/>
        </w:rPr>
      </w:pPr>
      <w:r>
        <w:rPr>
          <w:rFonts w:hint="eastAsia" w:eastAsia="宋体"/>
        </w:rPr>
        <w:t>Option-1</w:t>
      </w:r>
      <w:r>
        <w:rPr>
          <w:rFonts w:eastAsia="宋体"/>
        </w:rPr>
        <w:t xml:space="preserve">: Second </w:t>
      </w:r>
      <w:r>
        <w:rPr>
          <w:rFonts w:hint="eastAsia" w:eastAsia="宋体"/>
        </w:rPr>
        <w:t xml:space="preserve">UL </w:t>
      </w:r>
      <w:r>
        <w:rPr>
          <w:rFonts w:eastAsia="宋体"/>
        </w:rPr>
        <w:t xml:space="preserve">channel is </w:t>
      </w:r>
      <w:r>
        <w:rPr>
          <w:rFonts w:hint="eastAsia" w:eastAsia="宋体"/>
        </w:rPr>
        <w:t>PUCCH</w:t>
      </w:r>
    </w:p>
    <w:p>
      <w:pPr>
        <w:numPr>
          <w:ilvl w:val="3"/>
          <w:numId w:val="17"/>
        </w:numPr>
        <w:snapToGrid w:val="0"/>
        <w:spacing w:before="72" w:beforeLines="30" w:after="72" w:afterLines="30" w:line="288" w:lineRule="auto"/>
        <w:jc w:val="both"/>
        <w:rPr>
          <w:rFonts w:eastAsia="宋体"/>
        </w:rPr>
      </w:pPr>
      <w:r>
        <w:rPr>
          <w:rFonts w:eastAsia="宋体"/>
        </w:rPr>
        <w:t xml:space="preserve">In such </w:t>
      </w:r>
      <w:r>
        <w:rPr>
          <w:rFonts w:hint="eastAsia" w:eastAsia="宋体"/>
        </w:rPr>
        <w:t>option</w:t>
      </w:r>
      <w:r>
        <w:rPr>
          <w:rFonts w:eastAsia="宋体"/>
        </w:rPr>
        <w:t xml:space="preserve">, </w:t>
      </w:r>
      <w:r>
        <w:rPr>
          <w:rFonts w:hint="eastAsia" w:eastAsia="宋体"/>
        </w:rPr>
        <w:t>PUCCH format 2/3/4 can be used,</w:t>
      </w:r>
      <w:r>
        <w:rPr>
          <w:rFonts w:eastAsia="宋体"/>
        </w:rPr>
        <w:t xml:space="preserve"> where</w:t>
      </w:r>
      <w:r>
        <w:rPr>
          <w:rFonts w:hint="eastAsia" w:eastAsia="宋体"/>
        </w:rPr>
        <w:t xml:space="preserve"> the number of PRBs and symbols can be configured for a PUCCH resource. The number of RBs actually used for mapping the coded UCI bits of UEIBR are determined based on the UCI size after encoding and rate matching</w:t>
      </w:r>
      <w:r>
        <w:rPr>
          <w:rFonts w:eastAsia="宋体"/>
        </w:rPr>
        <w:t xml:space="preserve">. </w:t>
      </w:r>
    </w:p>
    <w:p>
      <w:pPr>
        <w:numPr>
          <w:ilvl w:val="3"/>
          <w:numId w:val="17"/>
        </w:numPr>
        <w:snapToGrid w:val="0"/>
        <w:spacing w:before="72" w:beforeLines="30" w:after="72" w:afterLines="30" w:line="288" w:lineRule="auto"/>
        <w:jc w:val="both"/>
        <w:rPr>
          <w:rFonts w:eastAsia="宋体"/>
        </w:rPr>
      </w:pPr>
      <w:r>
        <w:rPr>
          <w:rFonts w:hint="eastAsia" w:eastAsia="宋体"/>
        </w:rPr>
        <w:t xml:space="preserve">Spatial division </w:t>
      </w:r>
      <w:r>
        <w:rPr>
          <w:rFonts w:eastAsia="宋体"/>
        </w:rPr>
        <w:t xml:space="preserve">multiplexing </w:t>
      </w:r>
      <w:r>
        <w:rPr>
          <w:rFonts w:hint="eastAsia" w:eastAsia="宋体"/>
        </w:rPr>
        <w:t>based transmission (e.g., MU-MIMO) is not supported for PUCCH, hence PUCCH resource for the second UL channel should be individually configured to UEs through time division or frequency division to avoid collision.</w:t>
      </w:r>
    </w:p>
    <w:p>
      <w:pPr>
        <w:numPr>
          <w:ilvl w:val="3"/>
          <w:numId w:val="17"/>
        </w:numPr>
        <w:snapToGrid w:val="0"/>
        <w:spacing w:before="72" w:beforeLines="30" w:after="72" w:afterLines="30" w:line="288" w:lineRule="auto"/>
        <w:jc w:val="both"/>
        <w:rPr>
          <w:rFonts w:eastAsia="宋体"/>
        </w:rPr>
      </w:pPr>
      <w:r>
        <w:rPr>
          <w:rFonts w:hint="eastAsia" w:eastAsia="宋体"/>
        </w:rPr>
        <w:t>Compared with Mode A, Mode B has a lower report latency via a quite small time interval between the first PUCCH and second UL channel. In such way, the uplink resource for the second UL channel should be dedicated to UEIBR, otherwise if the uplink resource is indicated to be used for other usages but UEIBR is triggered, the UEIBR need</w:t>
      </w:r>
      <w:r>
        <w:rPr>
          <w:rFonts w:eastAsia="宋体"/>
        </w:rPr>
        <w:t>s</w:t>
      </w:r>
      <w:r>
        <w:rPr>
          <w:rFonts w:hint="eastAsia" w:eastAsia="宋体"/>
        </w:rPr>
        <w:t xml:space="preserve"> to be transmitted in a next available occasion, which brings additional report latency.</w:t>
      </w:r>
    </w:p>
    <w:p>
      <w:pPr>
        <w:numPr>
          <w:ilvl w:val="3"/>
          <w:numId w:val="17"/>
        </w:numPr>
        <w:snapToGrid w:val="0"/>
        <w:spacing w:before="72" w:beforeLines="30" w:after="72" w:afterLines="30" w:line="288" w:lineRule="auto"/>
        <w:jc w:val="both"/>
        <w:rPr>
          <w:rFonts w:eastAsia="宋体"/>
        </w:rPr>
      </w:pPr>
      <w:r>
        <w:rPr>
          <w:rFonts w:hint="eastAsia" w:eastAsia="宋体"/>
        </w:rPr>
        <w:t>Accordingly, once the PUCCH resource is configured dedicatedly to UEIBR, the corresponding resource efficiency might be lower considering the sparse UEIBR transmission.</w:t>
      </w:r>
    </w:p>
    <w:p>
      <w:pPr>
        <w:numPr>
          <w:ilvl w:val="2"/>
          <w:numId w:val="17"/>
        </w:numPr>
        <w:snapToGrid w:val="0"/>
        <w:spacing w:before="72" w:beforeLines="30" w:after="72" w:afterLines="30" w:line="288" w:lineRule="auto"/>
        <w:jc w:val="both"/>
        <w:rPr>
          <w:rFonts w:eastAsia="宋体"/>
        </w:rPr>
      </w:pPr>
      <w:r>
        <w:rPr>
          <w:rFonts w:hint="eastAsia" w:eastAsia="宋体"/>
        </w:rPr>
        <w:t>Option-2</w:t>
      </w:r>
      <w:r>
        <w:rPr>
          <w:rFonts w:eastAsia="宋体"/>
        </w:rPr>
        <w:t xml:space="preserve">: Second </w:t>
      </w:r>
      <w:r>
        <w:rPr>
          <w:rFonts w:hint="eastAsia" w:eastAsia="宋体"/>
        </w:rPr>
        <w:t xml:space="preserve">UL </w:t>
      </w:r>
      <w:r>
        <w:rPr>
          <w:rFonts w:eastAsia="宋体"/>
        </w:rPr>
        <w:t>channel is PUSCH</w:t>
      </w:r>
    </w:p>
    <w:p>
      <w:pPr>
        <w:numPr>
          <w:ilvl w:val="3"/>
          <w:numId w:val="17"/>
        </w:numPr>
        <w:snapToGrid w:val="0"/>
        <w:spacing w:before="72" w:beforeLines="30" w:after="72" w:afterLines="30" w:line="288" w:lineRule="auto"/>
        <w:jc w:val="both"/>
        <w:rPr>
          <w:rFonts w:eastAsia="宋体"/>
        </w:rPr>
      </w:pPr>
      <w:r>
        <w:rPr>
          <w:rFonts w:hint="eastAsia" w:eastAsia="宋体"/>
        </w:rPr>
        <w:t xml:space="preserve">Different from PUCCH, a PUSCH resource can be mapped with data bits and/or UCI bits. For AP/SP CSI report on PUSCH and the PUSCH </w:t>
      </w:r>
      <w:r>
        <w:rPr>
          <w:rFonts w:eastAsia="宋体"/>
        </w:rPr>
        <w:t>can be</w:t>
      </w:r>
      <w:r>
        <w:rPr>
          <w:rFonts w:hint="eastAsia" w:eastAsia="宋体"/>
        </w:rPr>
        <w:t xml:space="preserve"> indicated to be without UL-SCH, only CSI bits are mapped on the PUSCH resources.</w:t>
      </w:r>
    </w:p>
    <w:p>
      <w:pPr>
        <w:numPr>
          <w:ilvl w:val="3"/>
          <w:numId w:val="17"/>
        </w:numPr>
        <w:snapToGrid w:val="0"/>
        <w:spacing w:before="72" w:beforeLines="30" w:after="72" w:afterLines="30" w:line="288" w:lineRule="auto"/>
        <w:jc w:val="both"/>
        <w:rPr>
          <w:rFonts w:eastAsia="宋体"/>
        </w:rPr>
      </w:pPr>
      <w:r>
        <w:rPr>
          <w:rFonts w:hint="eastAsia" w:eastAsia="宋体"/>
        </w:rPr>
        <w:t>If a PUSCH resource is configured for the second UL channel, the PUSCH resource can be used for data transmission when no UEIBR is triggered, which leads to a much higher resource efficiency than PUCCH resource.</w:t>
      </w:r>
    </w:p>
    <w:p>
      <w:pPr>
        <w:numPr>
          <w:ilvl w:val="3"/>
          <w:numId w:val="17"/>
        </w:numPr>
        <w:snapToGrid w:val="0"/>
        <w:spacing w:before="72" w:beforeLines="30" w:after="72" w:afterLines="30" w:line="288" w:lineRule="auto"/>
        <w:jc w:val="both"/>
        <w:rPr>
          <w:rFonts w:eastAsia="宋体"/>
        </w:rPr>
      </w:pPr>
      <w:r>
        <w:rPr>
          <w:rFonts w:hint="eastAsia" w:eastAsia="宋体"/>
        </w:rPr>
        <w:t>Meanwhile, d</w:t>
      </w:r>
      <w:r>
        <w:rPr>
          <w:rFonts w:eastAsia="宋体"/>
        </w:rPr>
        <w:t>ue to enabling UL MU-MIMO</w:t>
      </w:r>
      <w:r>
        <w:rPr>
          <w:rFonts w:hint="eastAsia" w:eastAsia="宋体"/>
        </w:rPr>
        <w:t xml:space="preserve"> of PUSCH transmissions</w:t>
      </w:r>
      <w:r>
        <w:rPr>
          <w:rFonts w:eastAsia="宋体"/>
        </w:rPr>
        <w:t xml:space="preserve">, while considering that probability of UEIBR transmission is quite low, the pre-configured </w:t>
      </w:r>
      <w:r>
        <w:rPr>
          <w:rFonts w:hint="eastAsia" w:eastAsia="宋体"/>
        </w:rPr>
        <w:t xml:space="preserve">PUSCH </w:t>
      </w:r>
      <w:r>
        <w:rPr>
          <w:rFonts w:eastAsia="宋体"/>
        </w:rPr>
        <w:t>resource(s) can be shared with multi-users with a reasonable collision ratio</w:t>
      </w:r>
      <w:r>
        <w:rPr>
          <w:rFonts w:hint="eastAsia" w:eastAsia="宋体"/>
        </w:rPr>
        <w:t>.</w:t>
      </w:r>
    </w:p>
    <w:p>
      <w:pPr>
        <w:numPr>
          <w:ilvl w:val="3"/>
          <w:numId w:val="17"/>
        </w:numPr>
        <w:snapToGrid w:val="0"/>
        <w:spacing w:before="72" w:beforeLines="30" w:after="72" w:afterLines="30" w:line="288" w:lineRule="auto"/>
        <w:jc w:val="both"/>
        <w:rPr>
          <w:rFonts w:eastAsia="宋体"/>
        </w:rPr>
      </w:pPr>
      <w:r>
        <w:rPr>
          <w:rFonts w:hint="eastAsia" w:eastAsia="宋体"/>
        </w:rPr>
        <w:t>In legacy, CG-PUSCH can be used by multiple UEs via different spatial domain transmission configurations, and UE can determine to transmit CG-PUSCH or not in a transmission occasion based on whether UL-SCH is to be transmitted on the CG-PUSCH or not. Hence, it can be smooth to reuse CG-PUSCH as the second UL channel for UEIBR, where UE can determine to transmit CG-PUSCH or not in a transmission occasion based on whether UL-SCH or UEIBR is to be transmitted on the CG-PUSCH or not.</w:t>
      </w:r>
    </w:p>
    <w:p>
      <w:pPr>
        <w:numPr>
          <w:ilvl w:val="4"/>
          <w:numId w:val="18"/>
        </w:numPr>
        <w:snapToGrid w:val="0"/>
        <w:spacing w:before="72" w:beforeLines="30" w:after="72" w:afterLines="30" w:line="288" w:lineRule="auto"/>
        <w:jc w:val="both"/>
        <w:rPr>
          <w:rFonts w:eastAsia="宋体"/>
        </w:rPr>
      </w:pPr>
      <w:r>
        <w:rPr>
          <w:rFonts w:hint="eastAsia" w:eastAsia="宋体"/>
        </w:rPr>
        <w:t xml:space="preserve">To take </w:t>
      </w:r>
      <w:r>
        <w:rPr>
          <w:rFonts w:eastAsia="宋体"/>
        </w:rPr>
        <w:t>h</w:t>
      </w:r>
      <w:r>
        <w:rPr>
          <w:rFonts w:hint="eastAsia" w:eastAsia="宋体"/>
        </w:rPr>
        <w:t>igh</w:t>
      </w:r>
      <w:r>
        <w:rPr>
          <w:rFonts w:eastAsia="宋体"/>
        </w:rPr>
        <w:t>-</w:t>
      </w:r>
      <w:r>
        <w:rPr>
          <w:rFonts w:hint="eastAsia" w:eastAsia="宋体"/>
        </w:rPr>
        <w:t xml:space="preserve">speed scenario as an example, based on SLS assumption for </w:t>
      </w:r>
      <w:r>
        <w:rPr>
          <w:rFonts w:eastAsia="宋体"/>
        </w:rPr>
        <w:t xml:space="preserve">Rel-17 </w:t>
      </w:r>
      <w:r>
        <w:rPr>
          <w:rFonts w:hint="eastAsia" w:eastAsia="宋体"/>
        </w:rPr>
        <w:t>intra-cell mobility in dense urban scenario [4], assumed that UE speed is 120km/h</w:t>
      </w:r>
      <w:r>
        <w:rPr>
          <w:rFonts w:eastAsia="宋体"/>
        </w:rPr>
        <w:t xml:space="preserve"> and</w:t>
      </w:r>
      <w:r>
        <w:rPr>
          <w:rFonts w:hint="eastAsia" w:eastAsia="宋体"/>
        </w:rPr>
        <w:t xml:space="preserve"> BS </w:t>
      </w:r>
      <w:r>
        <w:rPr>
          <w:rFonts w:eastAsia="宋体"/>
        </w:rPr>
        <w:t>a</w:t>
      </w:r>
      <w:r>
        <w:rPr>
          <w:rFonts w:hint="eastAsia" w:eastAsia="宋体"/>
        </w:rPr>
        <w:t xml:space="preserve">ntenna </w:t>
      </w:r>
      <w:r>
        <w:rPr>
          <w:rFonts w:eastAsia="宋体"/>
        </w:rPr>
        <w:t>c</w:t>
      </w:r>
      <w:r>
        <w:rPr>
          <w:rFonts w:hint="eastAsia" w:eastAsia="宋体"/>
        </w:rPr>
        <w:t>onfiguration is (M, N, P, Mg, Ng) = (4, 8, 2, 2, 2), UE moves from Point P to Q as</w:t>
      </w:r>
      <w:r>
        <w:rPr>
          <w:rFonts w:eastAsia="宋体"/>
        </w:rPr>
        <w:t xml:space="preserve"> shown</w:t>
      </w:r>
      <w:r>
        <w:rPr>
          <w:rFonts w:hint="eastAsia" w:eastAsia="宋体"/>
        </w:rPr>
        <w:t xml:space="preserve"> in Figure 6.  Then, </w:t>
      </w:r>
      <w:r>
        <w:rPr>
          <w:rFonts w:eastAsia="宋体"/>
        </w:rPr>
        <w:t>it takes</w:t>
      </w:r>
      <w:r>
        <w:rPr>
          <w:rFonts w:hint="eastAsia" w:eastAsia="宋体"/>
        </w:rPr>
        <w:t xml:space="preserve"> 3.12s moving the P-to-Q distance (i.e., 104m). If the reporting period is 20ms and the number of BS side beams in horizontal direction is 8, the reporting probability is about 5.1%.</w:t>
      </w:r>
    </w:p>
    <w:p>
      <w:pPr>
        <w:numPr>
          <w:ilvl w:val="4"/>
          <w:numId w:val="18"/>
        </w:numPr>
        <w:snapToGrid w:val="0"/>
        <w:spacing w:before="72" w:beforeLines="30" w:after="72" w:afterLines="30" w:line="288" w:lineRule="auto"/>
        <w:jc w:val="both"/>
        <w:rPr>
          <w:rFonts w:eastAsia="宋体"/>
        </w:rPr>
      </w:pPr>
      <w:r>
        <w:rPr>
          <w:rFonts w:hint="eastAsia" w:eastAsia="宋体"/>
        </w:rPr>
        <w:t xml:space="preserve">On top of the above analysis, the probability of reporting collision with other UEs in the case the number of UEs operated with MU-MIMO is 4 and 8 can be shown in Figure 7. It can be concluded that the number of UEs colliding with a UE is basically </w:t>
      </w:r>
      <w:r>
        <w:rPr>
          <w:rFonts w:eastAsia="宋体"/>
        </w:rPr>
        <w:t>not greater</w:t>
      </w:r>
      <w:r>
        <w:rPr>
          <w:rFonts w:hint="eastAsia" w:eastAsia="宋体"/>
        </w:rPr>
        <w:t xml:space="preserve"> than 2, and reception of PUSCH transmissions from </w:t>
      </w:r>
      <w:r>
        <w:rPr>
          <w:rFonts w:eastAsia="宋体"/>
        </w:rPr>
        <w:t>single-layer</w:t>
      </w:r>
      <w:r>
        <w:rPr>
          <w:rFonts w:hint="eastAsia" w:eastAsia="宋体"/>
        </w:rPr>
        <w:t xml:space="preserve"> </w:t>
      </w:r>
      <w:r>
        <w:rPr>
          <w:rFonts w:eastAsia="宋体"/>
        </w:rPr>
        <w:t>CG-PUSCH(s) from three or less UEs can be well handled by current NW UL MU-MIMO receiver</w:t>
      </w:r>
      <w:r>
        <w:rPr>
          <w:rFonts w:hint="eastAsia" w:eastAsia="宋体"/>
        </w:rPr>
        <w:t xml:space="preserve">. However, for PUCCH transmission, </w:t>
      </w:r>
      <w:r>
        <w:rPr>
          <w:rFonts w:eastAsia="宋体"/>
        </w:rPr>
        <w:t>due to lack of orthogonal DMRS ports as PUSCH, failure detection upon c</w:t>
      </w:r>
      <w:r>
        <w:rPr>
          <w:rFonts w:hint="eastAsia" w:eastAsia="宋体"/>
        </w:rPr>
        <w:t xml:space="preserve">ollision </w:t>
      </w:r>
      <w:r>
        <w:rPr>
          <w:rFonts w:eastAsia="宋体"/>
        </w:rPr>
        <w:t xml:space="preserve">may occur (i.e., </w:t>
      </w:r>
      <w:r>
        <w:rPr>
          <w:rFonts w:hint="eastAsia" w:eastAsia="宋体"/>
        </w:rPr>
        <w:t>t</w:t>
      </w:r>
      <w:r>
        <w:rPr>
          <w:rFonts w:eastAsia="宋体"/>
        </w:rPr>
        <w:t>he number of UEs colliding with a UE is equal to or more than 1)</w:t>
      </w:r>
      <w:r>
        <w:rPr>
          <w:rFonts w:hint="eastAsia" w:eastAsia="宋体"/>
        </w:rPr>
        <w:t>.</w:t>
      </w:r>
    </w:p>
    <w:p>
      <w:pPr>
        <w:snapToGrid w:val="0"/>
        <w:spacing w:before="72" w:beforeLines="30" w:after="72" w:afterLines="30" w:line="288" w:lineRule="auto"/>
        <w:jc w:val="center"/>
        <w:rPr>
          <w:sz w:val="18"/>
          <w:szCs w:val="18"/>
        </w:rPr>
      </w:pPr>
      <w:r>
        <w:rPr>
          <w:sz w:val="18"/>
          <w:szCs w:val="18"/>
        </w:rPr>
        <w:object>
          <v:shape id="_x0000_i1040" o:spt="75" type="#_x0000_t75" style="height:173pt;width:201.5pt;" o:ole="t" filled="f" o:preferrelative="t" stroked="f" coordsize="21600,21600">
            <v:path/>
            <v:fill on="f" focussize="0,0"/>
            <v:stroke on="f" joinstyle="miter"/>
            <v:imagedata r:id="rId26" o:title=""/>
            <o:lock v:ext="edit" aspectratio="t"/>
            <w10:wrap type="none"/>
            <w10:anchorlock/>
          </v:shape>
          <o:OLEObject Type="Embed" ProgID="Visio.Drawing.15" ShapeID="_x0000_i1040" DrawAspect="Content" ObjectID="_1468075734" r:id="rId25">
            <o:LockedField>false</o:LockedField>
          </o:OLEObject>
        </w:object>
      </w:r>
    </w:p>
    <w:p>
      <w:pPr>
        <w:snapToGrid w:val="0"/>
        <w:spacing w:before="72" w:beforeLines="30" w:after="72" w:afterLines="30" w:line="288" w:lineRule="auto"/>
        <w:jc w:val="center"/>
        <w:rPr>
          <w:rFonts w:eastAsia="宋体"/>
          <w:sz w:val="18"/>
          <w:szCs w:val="18"/>
        </w:rPr>
      </w:pPr>
      <w:r>
        <w:rPr>
          <w:rFonts w:hint="eastAsia" w:eastAsia="宋体"/>
          <w:b/>
          <w:bCs/>
        </w:rPr>
        <w:t>Figure 6</w:t>
      </w:r>
      <w:r>
        <w:rPr>
          <w:rFonts w:hint="eastAsia" w:eastAsia="宋体"/>
        </w:rPr>
        <w:t xml:space="preserve"> UE Mobility and trajectory in scenario of High speed in Dense urban</w:t>
      </w:r>
    </w:p>
    <w:p>
      <w:pPr>
        <w:tabs>
          <w:tab w:val="left" w:pos="-420"/>
        </w:tabs>
        <w:snapToGrid w:val="0"/>
        <w:spacing w:before="72" w:beforeLines="30" w:after="72" w:afterLines="30" w:line="288" w:lineRule="auto"/>
        <w:jc w:val="both"/>
        <w:rPr>
          <w:rFonts w:eastAsia="宋体"/>
        </w:rPr>
      </w:pPr>
      <w:r>
        <w:rPr>
          <w:rFonts w:hint="eastAsia" w:eastAsia="宋体"/>
        </w:rPr>
        <w:drawing>
          <wp:inline distT="0" distB="0" distL="114300" distR="114300">
            <wp:extent cx="2654935" cy="1452880"/>
            <wp:effectExtent l="0" t="0" r="12065" b="13970"/>
            <wp:docPr id="1" name="图片 4" descr="Pcoll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colli4"/>
                    <pic:cNvPicPr>
                      <a:picLocks noChangeAspect="1"/>
                    </pic:cNvPicPr>
                  </pic:nvPicPr>
                  <pic:blipFill>
                    <a:blip r:embed="rId27"/>
                    <a:stretch>
                      <a:fillRect/>
                    </a:stretch>
                  </pic:blipFill>
                  <pic:spPr>
                    <a:xfrm>
                      <a:off x="0" y="0"/>
                      <a:ext cx="2654935" cy="1452880"/>
                    </a:xfrm>
                    <a:prstGeom prst="rect">
                      <a:avLst/>
                    </a:prstGeom>
                  </pic:spPr>
                </pic:pic>
              </a:graphicData>
            </a:graphic>
          </wp:inline>
        </w:drawing>
      </w:r>
      <w:r>
        <w:rPr>
          <w:rFonts w:hint="eastAsia" w:eastAsia="宋体"/>
        </w:rPr>
        <w:t xml:space="preserve"> </w:t>
      </w:r>
      <w:r>
        <w:rPr>
          <w:rFonts w:hint="eastAsia" w:eastAsia="宋体"/>
        </w:rPr>
        <w:drawing>
          <wp:inline distT="0" distB="0" distL="114300" distR="114300">
            <wp:extent cx="3068320" cy="1458595"/>
            <wp:effectExtent l="0" t="0" r="17780" b="8255"/>
            <wp:docPr id="2" name="图片 3" descr="Pcoll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Pcolli8"/>
                    <pic:cNvPicPr>
                      <a:picLocks noChangeAspect="1"/>
                    </pic:cNvPicPr>
                  </pic:nvPicPr>
                  <pic:blipFill>
                    <a:blip r:embed="rId28"/>
                    <a:stretch>
                      <a:fillRect/>
                    </a:stretch>
                  </pic:blipFill>
                  <pic:spPr>
                    <a:xfrm>
                      <a:off x="0" y="0"/>
                      <a:ext cx="3068320" cy="1458595"/>
                    </a:xfrm>
                    <a:prstGeom prst="rect">
                      <a:avLst/>
                    </a:prstGeom>
                  </pic:spPr>
                </pic:pic>
              </a:graphicData>
            </a:graphic>
          </wp:inline>
        </w:drawing>
      </w:r>
    </w:p>
    <w:p>
      <w:pPr>
        <w:tabs>
          <w:tab w:val="left" w:pos="-420"/>
        </w:tabs>
        <w:snapToGrid w:val="0"/>
        <w:spacing w:before="72" w:beforeLines="30" w:after="72" w:afterLines="30" w:line="288" w:lineRule="auto"/>
        <w:rPr>
          <w:rFonts w:eastAsia="宋体"/>
        </w:rPr>
      </w:pP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 xml:space="preserve">(a) </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(b)</w:t>
      </w:r>
    </w:p>
    <w:p>
      <w:pPr>
        <w:tabs>
          <w:tab w:val="left" w:pos="-420"/>
        </w:tabs>
        <w:snapToGrid w:val="0"/>
        <w:spacing w:before="72" w:beforeLines="30" w:after="72" w:afterLines="30" w:line="288" w:lineRule="auto"/>
        <w:jc w:val="center"/>
        <w:rPr>
          <w:rFonts w:eastAsia="宋体"/>
        </w:rPr>
      </w:pPr>
      <w:r>
        <w:rPr>
          <w:rFonts w:hint="eastAsia" w:eastAsia="宋体"/>
          <w:b/>
          <w:bCs/>
        </w:rPr>
        <w:t>Figure 7</w:t>
      </w:r>
      <w:r>
        <w:rPr>
          <w:rFonts w:hint="eastAsia" w:eastAsia="宋体"/>
        </w:rPr>
        <w:t xml:space="preserve"> Probability of Transmission Collision, (a) the number of UEs operated with MU-MIMO is 4, (b) the number of UEs operated with MU-MIMO is 8</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Regarding the second UL channel for Mode B for UE-initiated/event-driven beam reporting, support that the second UL channel is PUSCH.</w:t>
      </w:r>
    </w:p>
    <w:p>
      <w:pPr>
        <w:numPr>
          <w:ilvl w:val="0"/>
          <w:numId w:val="10"/>
        </w:numPr>
        <w:snapToGrid w:val="0"/>
        <w:spacing w:before="72" w:beforeLines="30" w:after="72" w:afterLines="30" w:line="288" w:lineRule="auto"/>
        <w:jc w:val="both"/>
        <w:rPr>
          <w:rFonts w:eastAsia="宋体"/>
          <w:i/>
        </w:rPr>
      </w:pPr>
      <w:r>
        <w:rPr>
          <w:rFonts w:hint="eastAsia" w:eastAsia="宋体"/>
          <w:i/>
        </w:rPr>
        <w:t>The uplink resource for the second UL channel is commonly configured for report configurations on all cells.</w:t>
      </w:r>
    </w:p>
    <w:p>
      <w:pPr>
        <w:numPr>
          <w:ilvl w:val="1"/>
          <w:numId w:val="10"/>
        </w:numPr>
        <w:snapToGrid w:val="0"/>
        <w:spacing w:before="72" w:beforeLines="30" w:after="72" w:afterLines="30" w:line="288" w:lineRule="auto"/>
        <w:ind w:left="840" w:leftChars="0" w:hanging="420" w:firstLineChars="0"/>
        <w:jc w:val="both"/>
        <w:rPr>
          <w:rFonts w:eastAsia="宋体"/>
          <w:i/>
        </w:rPr>
      </w:pPr>
      <w:r>
        <w:rPr>
          <w:rFonts w:hint="eastAsia" w:eastAsia="宋体"/>
          <w:i/>
        </w:rPr>
        <w:t>FFS: Report format to support cross-CC beam reporting.</w:t>
      </w:r>
    </w:p>
    <w:p>
      <w:pPr>
        <w:numPr>
          <w:ilvl w:val="0"/>
          <w:numId w:val="10"/>
        </w:numPr>
        <w:snapToGrid w:val="0"/>
        <w:spacing w:before="72" w:beforeLines="30" w:after="72" w:afterLines="30" w:line="288" w:lineRule="auto"/>
        <w:jc w:val="both"/>
        <w:rPr>
          <w:rFonts w:eastAsia="宋体"/>
          <w:i/>
          <w:iCs/>
        </w:rPr>
      </w:pPr>
      <w:r>
        <w:rPr>
          <w:rFonts w:hint="eastAsia" w:eastAsia="宋体"/>
          <w:i/>
        </w:rPr>
        <w:t>CG-PUSCH can be configured for the second UL channel.</w:t>
      </w:r>
    </w:p>
    <w:p>
      <w:pPr>
        <w:numPr>
          <w:ilvl w:val="0"/>
          <w:numId w:val="10"/>
        </w:numPr>
        <w:snapToGrid w:val="0"/>
        <w:spacing w:before="72" w:beforeLines="30" w:after="72" w:afterLines="30" w:line="288" w:lineRule="auto"/>
        <w:jc w:val="both"/>
        <w:rPr>
          <w:rFonts w:eastAsia="宋体"/>
          <w:i/>
          <w:iCs/>
        </w:rPr>
      </w:pPr>
      <w:r>
        <w:rPr>
          <w:rFonts w:hint="eastAsia" w:eastAsia="宋体"/>
          <w:i/>
        </w:rPr>
        <w:t>FFS: Whether/how to reuse CSI omission rule to handle the case that the second UL channel is not capable of carrying all the beam reports.</w:t>
      </w:r>
      <w:r>
        <w:rPr>
          <w:rFonts w:eastAsia="宋体"/>
          <w:i/>
          <w:iCs/>
        </w:rPr>
        <w:t xml:space="preserve"> </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1" w:name="OLE_LINK25"/>
      <w:r>
        <w:rPr>
          <w:rFonts w:hint="eastAsia" w:eastAsia="t"/>
          <w:sz w:val="20"/>
          <w:lang w:val="en-GB"/>
        </w:rPr>
        <w:t xml:space="preserve">In this contribution, we discuss the potential candidate solutions to </w:t>
      </w:r>
      <w:r>
        <w:rPr>
          <w:rFonts w:hint="eastAsia" w:eastAsia="t"/>
          <w:sz w:val="20"/>
        </w:rPr>
        <w:t xml:space="preserve">support </w:t>
      </w:r>
      <w:r>
        <w:rPr>
          <w:rFonts w:hint="eastAsia"/>
          <w:sz w:val="20"/>
        </w:rPr>
        <w:t xml:space="preserve">UE-initiated beam management </w:t>
      </w:r>
      <w:r>
        <w:rPr>
          <w:rFonts w:hint="eastAsia" w:eastAsia="t"/>
          <w:sz w:val="20"/>
          <w:lang w:val="en-GB"/>
        </w:rPr>
        <w:t>with the following proposals.</w:t>
      </w:r>
      <w:bookmarkEnd w:id="1"/>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rPr>
        <w:t>1</w:t>
      </w:r>
      <w:r>
        <w:rPr>
          <w:b/>
          <w:i/>
          <w:szCs w:val="21"/>
        </w:rPr>
        <w:t>:</w:t>
      </w:r>
      <w:r>
        <w:rPr>
          <w:bCs/>
          <w:i/>
          <w:szCs w:val="21"/>
        </w:rPr>
        <w:t xml:space="preserve"> </w:t>
      </w:r>
      <w:r>
        <w:rPr>
          <w:rFonts w:hint="eastAsia" w:eastAsia="宋体"/>
          <w:i/>
          <w:szCs w:val="20"/>
        </w:rPr>
        <w:t>For UE-initiated/event-driven beam reporting procedure, support to specify that UE-initiated beam report triggering is based on a counter</w:t>
      </w:r>
      <w:r>
        <w:rPr>
          <w:rFonts w:eastAsia="宋体"/>
          <w:i/>
          <w:szCs w:val="20"/>
        </w:rPr>
        <w:t xml:space="preserve"> with a timer</w:t>
      </w:r>
      <w:r>
        <w:rPr>
          <w:rFonts w:hint="eastAsia" w:eastAsia="宋体"/>
          <w:i/>
          <w:szCs w:val="20"/>
        </w:rPr>
        <w:t xml:space="preserve"> as legacy BFR.</w:t>
      </w:r>
    </w:p>
    <w:p>
      <w:pPr>
        <w:numPr>
          <w:ilvl w:val="0"/>
          <w:numId w:val="10"/>
        </w:numPr>
        <w:snapToGrid w:val="0"/>
        <w:spacing w:before="72" w:beforeLines="30" w:after="72" w:afterLines="30" w:line="288" w:lineRule="auto"/>
        <w:jc w:val="both"/>
        <w:rPr>
          <w:rFonts w:eastAsia="宋体"/>
          <w:i/>
          <w:iCs/>
        </w:rPr>
      </w:pPr>
      <w:r>
        <w:rPr>
          <w:rFonts w:hint="eastAsia" w:eastAsia="宋体"/>
          <w:i/>
          <w:iCs/>
        </w:rPr>
        <w:t>Note: Up to UE implementation to use L1-filtered RSRP value or non-filtered RSRP value for trigger event evaluation.</w:t>
      </w:r>
    </w:p>
    <w:p>
      <w:pPr>
        <w:pStyle w:val="111"/>
        <w:widowControl w:val="0"/>
        <w:spacing w:before="72" w:beforeLines="30" w:after="72" w:afterLines="30" w:line="288" w:lineRule="auto"/>
        <w:ind w:firstLine="0" w:firstLineChars="0"/>
        <w:jc w:val="both"/>
        <w:rPr>
          <w:i/>
        </w:rPr>
      </w:pPr>
      <w:r>
        <w:rPr>
          <w:rFonts w:hint="eastAsia" w:eastAsia="宋体"/>
          <w:b/>
          <w:i/>
          <w:szCs w:val="21"/>
        </w:rPr>
        <w:t>Proposal</w:t>
      </w:r>
      <w:r>
        <w:rPr>
          <w:b/>
          <w:i/>
          <w:szCs w:val="21"/>
        </w:rPr>
        <w:t xml:space="preserve"> </w:t>
      </w:r>
      <w:r>
        <w:rPr>
          <w:rFonts w:hint="eastAsia" w:eastAsia="宋体"/>
          <w:b/>
          <w:i/>
          <w:szCs w:val="21"/>
        </w:rPr>
        <w:t>2</w:t>
      </w:r>
      <w:r>
        <w:rPr>
          <w:b/>
          <w:i/>
          <w:szCs w:val="21"/>
        </w:rPr>
        <w:t>:</w:t>
      </w:r>
      <w:r>
        <w:rPr>
          <w:bCs/>
          <w:i/>
          <w:szCs w:val="21"/>
        </w:rPr>
        <w:t xml:space="preserve"> </w:t>
      </w:r>
      <w:r>
        <w:rPr>
          <w:rFonts w:hint="eastAsia" w:eastAsia="宋体"/>
          <w:i/>
          <w:szCs w:val="20"/>
        </w:rPr>
        <w:t>Regarding Event-2 for UE-initiated beam report, support that measurement reference signals for t</w:t>
      </w:r>
      <w:r>
        <w:rPr>
          <w:rFonts w:hint="eastAsia"/>
          <w:i/>
        </w:rPr>
        <w:t xml:space="preserve">he new beams are explicitly configured </w:t>
      </w:r>
      <w:r>
        <w:rPr>
          <w:rFonts w:hint="eastAsia" w:eastAsia="宋体"/>
          <w:i/>
        </w:rPr>
        <w:t>by RRC as legacy CSI report configuration</w:t>
      </w:r>
      <w:r>
        <w:rPr>
          <w:rFonts w:hint="eastAsia"/>
          <w:i/>
        </w:rPr>
        <w:t>.</w:t>
      </w:r>
    </w:p>
    <w:p>
      <w:pPr>
        <w:numPr>
          <w:ilvl w:val="0"/>
          <w:numId w:val="10"/>
        </w:numPr>
        <w:snapToGrid w:val="0"/>
        <w:spacing w:before="72" w:beforeLines="30" w:after="72" w:afterLines="30" w:line="288" w:lineRule="auto"/>
        <w:jc w:val="both"/>
        <w:rPr>
          <w:rFonts w:eastAsia="宋体"/>
          <w:i/>
          <w:iCs/>
        </w:rPr>
      </w:pPr>
      <w:r>
        <w:rPr>
          <w:rFonts w:hint="eastAsia" w:eastAsia="宋体"/>
          <w:i/>
          <w:iCs/>
        </w:rPr>
        <w:t>Note: The configured reference signal resources are expected to associate with the configured TCI states.</w:t>
      </w:r>
    </w:p>
    <w:p>
      <w:pPr>
        <w:pStyle w:val="111"/>
        <w:widowControl w:val="0"/>
        <w:spacing w:before="72" w:beforeLines="30" w:after="72" w:afterLines="30" w:line="288" w:lineRule="auto"/>
        <w:ind w:firstLine="0" w:firstLineChars="0"/>
        <w:jc w:val="both"/>
        <w:rPr>
          <w:i/>
        </w:rPr>
      </w:pPr>
      <w:r>
        <w:rPr>
          <w:rFonts w:hint="eastAsia"/>
          <w:b/>
          <w:bCs/>
          <w:i/>
          <w:iCs/>
          <w:szCs w:val="20"/>
        </w:rPr>
        <w:t xml:space="preserve">Proposal 3: </w:t>
      </w:r>
      <w:r>
        <w:rPr>
          <w:rFonts w:hint="eastAsia" w:eastAsia="宋体"/>
          <w:i/>
          <w:szCs w:val="20"/>
        </w:rPr>
        <w:t>Regarding Event-2 for UE-initiated beam report, s</w:t>
      </w:r>
      <w:r>
        <w:rPr>
          <w:rFonts w:hint="eastAsia"/>
          <w:i/>
          <w:iCs/>
          <w:szCs w:val="20"/>
        </w:rPr>
        <w:t xml:space="preserve">upport that </w:t>
      </w:r>
      <w:r>
        <w:rPr>
          <w:rFonts w:hint="eastAsia" w:eastAsia="宋体"/>
          <w:i/>
          <w:szCs w:val="20"/>
        </w:rPr>
        <w:t>measurement reference signal for t</w:t>
      </w:r>
      <w:r>
        <w:rPr>
          <w:rFonts w:hint="eastAsia"/>
          <w:i/>
        </w:rPr>
        <w:t xml:space="preserve">he </w:t>
      </w:r>
      <w:r>
        <w:rPr>
          <w:rFonts w:hint="eastAsia" w:eastAsia="宋体"/>
          <w:i/>
        </w:rPr>
        <w:t xml:space="preserve">current </w:t>
      </w:r>
      <w:r>
        <w:rPr>
          <w:rFonts w:hint="eastAsia"/>
          <w:i/>
        </w:rPr>
        <w:t xml:space="preserve">beam </w:t>
      </w:r>
      <w:r>
        <w:rPr>
          <w:rFonts w:hint="eastAsia" w:eastAsia="宋体"/>
          <w:i/>
        </w:rPr>
        <w:t xml:space="preserve">derived implicitly (i.e., Option-2a) has a same type of measurement reference signals for the new beams </w:t>
      </w:r>
      <w:r>
        <w:rPr>
          <w:rFonts w:hint="eastAsia"/>
          <w:i/>
        </w:rPr>
        <w:t xml:space="preserve">configured </w:t>
      </w:r>
      <w:r>
        <w:rPr>
          <w:rFonts w:hint="eastAsia" w:eastAsia="宋体"/>
          <w:i/>
        </w:rPr>
        <w:t>by RRC.</w:t>
      </w:r>
      <w:r>
        <w:rPr>
          <w:rFonts w:hint="eastAsia" w:eastAsia="宋体"/>
          <w:i/>
          <w:szCs w:val="20"/>
        </w:rPr>
        <w:t xml:space="preserve"> </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eastAsia="宋体"/>
          <w:b/>
          <w:i/>
          <w:szCs w:val="21"/>
        </w:rPr>
        <w:t>4</w:t>
      </w:r>
      <w:r>
        <w:rPr>
          <w:b/>
          <w:i/>
          <w:szCs w:val="21"/>
        </w:rPr>
        <w:t>:</w:t>
      </w:r>
      <w:r>
        <w:rPr>
          <w:bCs/>
          <w:i/>
          <w:szCs w:val="21"/>
        </w:rPr>
        <w:t xml:space="preserve"> </w:t>
      </w:r>
      <w:r>
        <w:rPr>
          <w:rFonts w:hint="eastAsia" w:eastAsia="宋体"/>
          <w:i/>
          <w:szCs w:val="20"/>
        </w:rPr>
        <w:t xml:space="preserve">On UE-initiated/event-driven beam reporting, support </w:t>
      </w:r>
      <w:r>
        <w:rPr>
          <w:rFonts w:eastAsia="宋体"/>
          <w:i/>
          <w:szCs w:val="20"/>
        </w:rPr>
        <w:t>to introduce one</w:t>
      </w:r>
      <w:r>
        <w:rPr>
          <w:rFonts w:hint="eastAsia" w:eastAsia="宋体"/>
          <w:i/>
          <w:szCs w:val="20"/>
        </w:rPr>
        <w:t xml:space="preserve"> trigger event for update of activated TCI states</w:t>
      </w:r>
      <w:r>
        <w:rPr>
          <w:rFonts w:eastAsia="宋体"/>
          <w:i/>
          <w:szCs w:val="20"/>
        </w:rPr>
        <w:t xml:space="preserve"> additionally</w:t>
      </w:r>
      <w:r>
        <w:rPr>
          <w:rFonts w:hint="eastAsia" w:eastAsia="宋体"/>
          <w:i/>
          <w:szCs w:val="20"/>
        </w:rPr>
        <w:t>.</w:t>
      </w:r>
    </w:p>
    <w:p>
      <w:pPr>
        <w:numPr>
          <w:ilvl w:val="0"/>
          <w:numId w:val="10"/>
        </w:numPr>
        <w:snapToGrid w:val="0"/>
        <w:spacing w:before="72" w:beforeLines="30" w:after="72" w:afterLines="30" w:line="288" w:lineRule="auto"/>
        <w:jc w:val="both"/>
        <w:rPr>
          <w:rFonts w:eastAsia="宋体"/>
          <w:i/>
          <w:iCs/>
        </w:rPr>
      </w:pPr>
      <w:r>
        <w:rPr>
          <w:rFonts w:hint="eastAsia" w:eastAsia="宋体"/>
          <w:i/>
          <w:iCs/>
        </w:rPr>
        <w:t>Event-7c: Quality of at least one new beam, such as L1-RSRP, becomes a threshold value better than the RS derived from the activated TCI state with the M-th best quality</w:t>
      </w:r>
      <w:r>
        <w:rPr>
          <w:rFonts w:eastAsia="宋体"/>
          <w:i/>
          <w:iCs/>
        </w:rPr>
        <w:t xml:space="preserve"> (</w:t>
      </w:r>
      <w:r>
        <w:rPr>
          <w:rFonts w:eastAsia="宋体"/>
          <w:bCs/>
          <w:i/>
          <w:iCs/>
          <w:szCs w:val="21"/>
        </w:rPr>
        <w:t xml:space="preserve">M </w:t>
      </w:r>
      <w:r>
        <w:rPr>
          <w:rFonts w:hint="eastAsia"/>
          <w:i/>
          <w:szCs w:val="20"/>
        </w:rPr>
        <w:t xml:space="preserve">≥ </w:t>
      </w:r>
      <w:r>
        <w:rPr>
          <w:i/>
          <w:szCs w:val="20"/>
        </w:rPr>
        <w:t>1</w:t>
      </w:r>
      <w:r>
        <w:rPr>
          <w:rFonts w:eastAsia="宋体"/>
          <w:i/>
          <w:iCs/>
        </w:rPr>
        <w:t>)</w:t>
      </w:r>
      <w:r>
        <w:rPr>
          <w:rFonts w:hint="eastAsia" w:eastAsia="宋体"/>
          <w:i/>
          <w:iCs/>
        </w:rPr>
        <w:t>.</w:t>
      </w:r>
    </w:p>
    <w:p>
      <w:pPr>
        <w:numPr>
          <w:ilvl w:val="0"/>
          <w:numId w:val="10"/>
        </w:numPr>
        <w:snapToGrid w:val="0"/>
        <w:spacing w:before="72" w:beforeLines="30" w:after="72" w:afterLines="30" w:line="288" w:lineRule="auto"/>
        <w:jc w:val="both"/>
        <w:rPr>
          <w:rFonts w:eastAsia="宋体"/>
          <w:i/>
          <w:iCs/>
        </w:rPr>
      </w:pPr>
      <w:r>
        <w:rPr>
          <w:rFonts w:hint="eastAsia" w:eastAsia="宋体"/>
          <w:i/>
          <w:iCs/>
        </w:rPr>
        <w:t xml:space="preserve">FFS: </w:t>
      </w:r>
      <w:r>
        <w:rPr>
          <w:rFonts w:eastAsia="宋体"/>
          <w:i/>
          <w:iCs/>
        </w:rPr>
        <w:t>How to determine the</w:t>
      </w:r>
      <w:r>
        <w:rPr>
          <w:rFonts w:hint="eastAsia" w:eastAsia="宋体"/>
          <w:i/>
          <w:iCs/>
        </w:rPr>
        <w:t xml:space="preserve"> value of M.</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Regarding UL signaling content(s) of UEIBR triggered by Event-2, the following indications should be considered:</w:t>
      </w:r>
    </w:p>
    <w:p>
      <w:pPr>
        <w:numPr>
          <w:ilvl w:val="0"/>
          <w:numId w:val="10"/>
        </w:numPr>
        <w:snapToGrid w:val="0"/>
        <w:spacing w:before="72" w:beforeLines="30" w:after="72" w:afterLines="30" w:line="288" w:lineRule="auto"/>
        <w:jc w:val="both"/>
        <w:rPr>
          <w:rFonts w:eastAsia="宋体"/>
          <w:i/>
          <w:iCs/>
        </w:rPr>
      </w:pPr>
      <w:r>
        <w:rPr>
          <w:rFonts w:hint="eastAsia" w:eastAsia="宋体"/>
          <w:i/>
          <w:iCs/>
        </w:rPr>
        <w:t>DL RS ID (e.g., CRI or SSBRI) of the new beam(s);</w:t>
      </w:r>
    </w:p>
    <w:p>
      <w:pPr>
        <w:numPr>
          <w:ilvl w:val="0"/>
          <w:numId w:val="10"/>
        </w:numPr>
        <w:snapToGrid w:val="0"/>
        <w:spacing w:before="72" w:beforeLines="30" w:after="72" w:afterLines="30" w:line="288" w:lineRule="auto"/>
        <w:jc w:val="both"/>
        <w:rPr>
          <w:rFonts w:eastAsia="宋体"/>
          <w:i/>
          <w:iCs/>
        </w:rPr>
      </w:pPr>
      <w:r>
        <w:rPr>
          <w:rFonts w:hint="eastAsia" w:eastAsia="宋体"/>
          <w:i/>
          <w:iCs/>
        </w:rPr>
        <w:t>RRC configures to report L1-RSRP of the current beam or not;</w:t>
      </w:r>
    </w:p>
    <w:p>
      <w:pPr>
        <w:numPr>
          <w:ilvl w:val="0"/>
          <w:numId w:val="10"/>
        </w:numPr>
        <w:snapToGrid w:val="0"/>
        <w:spacing w:before="72" w:beforeLines="30" w:after="72" w:afterLines="30" w:line="288" w:lineRule="auto"/>
        <w:jc w:val="both"/>
        <w:rPr>
          <w:rFonts w:eastAsia="宋体"/>
          <w:i/>
          <w:iCs/>
        </w:rPr>
      </w:pPr>
      <w:r>
        <w:rPr>
          <w:rFonts w:hint="eastAsia" w:eastAsia="宋体"/>
          <w:i/>
          <w:iCs/>
        </w:rPr>
        <w:t>Differential L1-RSRP reporting</w:t>
      </w:r>
    </w:p>
    <w:p>
      <w:pPr>
        <w:numPr>
          <w:ilvl w:val="1"/>
          <w:numId w:val="10"/>
        </w:numPr>
        <w:snapToGrid w:val="0"/>
        <w:spacing w:before="72" w:beforeLines="30" w:after="72" w:afterLines="30" w:line="288" w:lineRule="auto"/>
        <w:jc w:val="both"/>
        <w:rPr>
          <w:rFonts w:eastAsia="宋体"/>
          <w:i/>
          <w:iCs/>
        </w:rPr>
      </w:pPr>
      <w:r>
        <w:rPr>
          <w:rFonts w:hint="eastAsia" w:eastAsia="宋体"/>
          <w:i/>
          <w:iCs/>
        </w:rPr>
        <w:t>Absolute L1-RSRP value is for the new beam with the highest L1-RSRP value;</w:t>
      </w:r>
    </w:p>
    <w:p>
      <w:pPr>
        <w:numPr>
          <w:ilvl w:val="1"/>
          <w:numId w:val="10"/>
        </w:numPr>
        <w:snapToGrid w:val="0"/>
        <w:spacing w:before="72" w:beforeLines="30" w:after="72" w:afterLines="30" w:line="288" w:lineRule="auto"/>
        <w:jc w:val="both"/>
        <w:rPr>
          <w:rFonts w:eastAsia="宋体"/>
          <w:i/>
          <w:iCs/>
        </w:rPr>
      </w:pPr>
      <w:r>
        <w:rPr>
          <w:rFonts w:hint="eastAsia" w:eastAsia="宋体"/>
          <w:i/>
          <w:iCs/>
        </w:rPr>
        <w:t>Differential L1-RSRP value is for the other new beams and the current beam if reported;</w:t>
      </w:r>
    </w:p>
    <w:p>
      <w:pPr>
        <w:numPr>
          <w:ilvl w:val="0"/>
          <w:numId w:val="10"/>
        </w:numPr>
        <w:snapToGrid w:val="0"/>
        <w:spacing w:before="72" w:beforeLines="30" w:after="72" w:afterLines="30" w:line="288" w:lineRule="auto"/>
        <w:jc w:val="both"/>
        <w:rPr>
          <w:rFonts w:eastAsia="宋体"/>
        </w:rPr>
      </w:pPr>
      <w:r>
        <w:rPr>
          <w:rFonts w:hint="eastAsia" w:eastAsia="宋体"/>
          <w:i/>
          <w:iCs/>
        </w:rPr>
        <w:t>Note: To leverage legacy CSI framework as much as possible, Table 6.3.1.1.2-6 provided in TS 38.212 can be used as the starting point for details of the UL signaling contents (e.g., the field and bitwidth).</w:t>
      </w:r>
    </w:p>
    <w:p>
      <w:pPr>
        <w:snapToGrid w:val="0"/>
        <w:spacing w:before="72" w:beforeLines="30" w:after="72" w:afterLines="30" w:line="288" w:lineRule="auto"/>
        <w:jc w:val="both"/>
        <w:rPr>
          <w:i/>
          <w:iCs/>
          <w:szCs w:val="20"/>
        </w:rPr>
      </w:pPr>
      <w:r>
        <w:rPr>
          <w:rFonts w:hint="eastAsia"/>
          <w:b/>
          <w:bCs/>
          <w:i/>
          <w:iCs/>
          <w:szCs w:val="20"/>
        </w:rPr>
        <w:t>Proposal 6:</w:t>
      </w:r>
      <w:r>
        <w:rPr>
          <w:rFonts w:hint="eastAsia"/>
          <w:i/>
          <w:iCs/>
          <w:szCs w:val="20"/>
        </w:rPr>
        <w:t xml:space="preserve"> Regarding the number of reported beams in </w:t>
      </w:r>
      <w:r>
        <w:rPr>
          <w:i/>
          <w:iCs/>
          <w:szCs w:val="20"/>
        </w:rPr>
        <w:t xml:space="preserve">UL signaling content(s) of L1-RSRP report </w:t>
      </w:r>
      <w:r>
        <w:rPr>
          <w:rFonts w:hint="eastAsia"/>
          <w:i/>
          <w:iCs/>
          <w:szCs w:val="20"/>
        </w:rPr>
        <w:t>triggered by</w:t>
      </w:r>
      <w:r>
        <w:rPr>
          <w:i/>
          <w:iCs/>
          <w:szCs w:val="20"/>
        </w:rPr>
        <w:t xml:space="preserve"> Event-2</w:t>
      </w:r>
      <w:r>
        <w:rPr>
          <w:rFonts w:hint="eastAsia"/>
          <w:i/>
          <w:iCs/>
          <w:szCs w:val="20"/>
        </w:rPr>
        <w:t>, support to further discuss the following two options:</w:t>
      </w:r>
    </w:p>
    <w:p>
      <w:pPr>
        <w:numPr>
          <w:ilvl w:val="0"/>
          <w:numId w:val="10"/>
        </w:numPr>
        <w:snapToGrid w:val="0"/>
        <w:spacing w:before="72" w:beforeLines="30" w:after="72" w:afterLines="30" w:line="288" w:lineRule="auto"/>
        <w:jc w:val="both"/>
        <w:rPr>
          <w:rFonts w:eastAsia="宋体"/>
          <w:i/>
          <w:iCs/>
        </w:rPr>
      </w:pPr>
      <w:r>
        <w:rPr>
          <w:rFonts w:hint="eastAsia" w:eastAsia="宋体"/>
          <w:i/>
          <w:iCs/>
        </w:rPr>
        <w:t>Option-1 (variable size): N beam(s) are reported in the report instance, where N ∈ {1, 2, ..., N</w:t>
      </w:r>
      <w:r>
        <w:rPr>
          <w:rFonts w:hint="eastAsia" w:eastAsia="宋体"/>
          <w:i/>
          <w:iCs/>
          <w:vertAlign w:val="subscript"/>
        </w:rPr>
        <w:t>max</w:t>
      </w:r>
      <w:r>
        <w:rPr>
          <w:rFonts w:hint="eastAsia" w:eastAsia="宋体"/>
          <w:i/>
          <w:iCs/>
        </w:rPr>
        <w:t>} and the N beam(s) should satisfy the condition of Event-2.</w:t>
      </w:r>
    </w:p>
    <w:p>
      <w:pPr>
        <w:numPr>
          <w:ilvl w:val="1"/>
          <w:numId w:val="10"/>
        </w:numPr>
        <w:snapToGrid w:val="0"/>
        <w:spacing w:before="72" w:beforeLines="30" w:after="72" w:afterLines="30" w:line="288" w:lineRule="auto"/>
        <w:jc w:val="both"/>
        <w:rPr>
          <w:rFonts w:eastAsia="宋体"/>
          <w:i/>
          <w:iCs/>
        </w:rPr>
      </w:pPr>
      <w:r>
        <w:rPr>
          <w:rFonts w:hint="eastAsia" w:eastAsia="宋体"/>
          <w:i/>
          <w:iCs/>
        </w:rPr>
        <w:t>An indication of the number of reported beams is introduced.</w:t>
      </w:r>
    </w:p>
    <w:p>
      <w:pPr>
        <w:numPr>
          <w:ilvl w:val="0"/>
          <w:numId w:val="10"/>
        </w:numPr>
        <w:snapToGrid w:val="0"/>
        <w:spacing w:before="72" w:beforeLines="30" w:after="72" w:afterLines="30" w:line="288" w:lineRule="auto"/>
        <w:jc w:val="both"/>
        <w:rPr>
          <w:i/>
          <w:iCs/>
          <w:szCs w:val="20"/>
        </w:rPr>
      </w:pPr>
      <w:r>
        <w:rPr>
          <w:rFonts w:hint="eastAsia" w:eastAsia="宋体"/>
          <w:i/>
          <w:iCs/>
        </w:rPr>
        <w:t>Option-3 (fixed size): N ≥ 1 beam(s) are reported in the report instance, where N is configured by gNB.</w:t>
      </w:r>
    </w:p>
    <w:p>
      <w:pPr>
        <w:snapToGrid w:val="0"/>
        <w:spacing w:before="72" w:beforeLines="30" w:after="72" w:afterLines="30" w:line="288" w:lineRule="auto"/>
        <w:jc w:val="both"/>
        <w:rPr>
          <w:rFonts w:eastAsia="Times New Roman"/>
          <w:i/>
          <w:iCs/>
          <w:color w:val="000000"/>
          <w:szCs w:val="20"/>
        </w:rPr>
      </w:pPr>
      <w:r>
        <w:rPr>
          <w:rFonts w:hint="eastAsia" w:eastAsia="宋体"/>
          <w:b/>
          <w:bCs/>
          <w:i/>
          <w:iCs/>
        </w:rPr>
        <w:t>Proposal 7:</w:t>
      </w:r>
      <w:r>
        <w:rPr>
          <w:rFonts w:hint="eastAsia" w:eastAsia="宋体"/>
          <w:i/>
          <w:iCs/>
        </w:rPr>
        <w:t xml:space="preserve"> </w:t>
      </w:r>
      <w:r>
        <w:rPr>
          <w:rFonts w:eastAsia="Times New Roman"/>
          <w:i/>
          <w:iCs/>
          <w:color w:val="000000"/>
          <w:szCs w:val="20"/>
        </w:rPr>
        <w:t xml:space="preserve">On beam report transmission procedure for </w:t>
      </w:r>
      <w:r>
        <w:rPr>
          <w:i/>
          <w:iCs/>
          <w:szCs w:val="20"/>
        </w:rPr>
        <w:t>UE-initiated/event-driven beam report</w:t>
      </w:r>
      <w:r>
        <w:rPr>
          <w:rFonts w:eastAsia="Times New Roman"/>
          <w:i/>
          <w:iCs/>
          <w:color w:val="000000"/>
          <w:szCs w:val="20"/>
        </w:rPr>
        <w:t>ing, </w:t>
      </w:r>
      <w:r>
        <w:rPr>
          <w:rFonts w:hint="eastAsia" w:eastAsia="Times New Roman"/>
          <w:i/>
          <w:iCs/>
          <w:color w:val="000000"/>
          <w:szCs w:val="20"/>
        </w:rPr>
        <w:t>for both Mode A and Mode B, the first PUCCH carries 1 bit information.</w:t>
      </w:r>
    </w:p>
    <w:p>
      <w:pPr>
        <w:numPr>
          <w:ilvl w:val="0"/>
          <w:numId w:val="10"/>
        </w:numPr>
        <w:snapToGrid w:val="0"/>
        <w:spacing w:before="72" w:beforeLines="30" w:after="72" w:afterLines="30" w:line="288" w:lineRule="auto"/>
        <w:jc w:val="both"/>
        <w:rPr>
          <w:rFonts w:eastAsia="Times New Roman"/>
          <w:i/>
          <w:iCs/>
          <w:color w:val="000000"/>
          <w:szCs w:val="20"/>
        </w:rPr>
      </w:pPr>
      <w:r>
        <w:rPr>
          <w:rFonts w:hint="eastAsia" w:eastAsia="Times New Roman"/>
          <w:i/>
          <w:iCs/>
          <w:color w:val="000000"/>
          <w:szCs w:val="20"/>
        </w:rPr>
        <w:t>The 1 bit information is an SR.</w:t>
      </w:r>
    </w:p>
    <w:p>
      <w:pPr>
        <w:numPr>
          <w:ilvl w:val="0"/>
          <w:numId w:val="10"/>
        </w:numPr>
        <w:snapToGrid w:val="0"/>
        <w:spacing w:before="72" w:beforeLines="30" w:after="72" w:afterLines="30" w:line="288" w:lineRule="auto"/>
        <w:jc w:val="both"/>
        <w:rPr>
          <w:rFonts w:eastAsia="宋体"/>
        </w:rPr>
      </w:pPr>
      <w:r>
        <w:rPr>
          <w:rFonts w:hint="eastAsia" w:eastAsia="Times New Roman"/>
          <w:i/>
          <w:iCs/>
          <w:color w:val="000000"/>
          <w:szCs w:val="20"/>
        </w:rPr>
        <w:t>An SR configuration dedicated to UE-initiated beam report is configured for the first PUCCH.</w:t>
      </w:r>
    </w:p>
    <w:p>
      <w:pPr>
        <w:numPr>
          <w:ilvl w:val="0"/>
          <w:numId w:val="10"/>
        </w:numPr>
        <w:snapToGrid w:val="0"/>
        <w:spacing w:before="72" w:beforeLines="30" w:after="72" w:afterLines="30" w:line="288" w:lineRule="auto"/>
        <w:jc w:val="both"/>
        <w:rPr>
          <w:rFonts w:eastAsia="宋体"/>
        </w:rPr>
      </w:pPr>
      <w:r>
        <w:rPr>
          <w:rFonts w:hint="eastAsia" w:eastAsia="Times New Roman"/>
          <w:i/>
          <w:iCs/>
          <w:color w:val="000000"/>
          <w:szCs w:val="20"/>
        </w:rPr>
        <w:t xml:space="preserve">The first PUCCH is configured commonly for all the </w:t>
      </w:r>
      <w:r>
        <w:rPr>
          <w:i/>
          <w:iCs/>
          <w:szCs w:val="20"/>
        </w:rPr>
        <w:t>UE-initiated/event-driven beam repor</w:t>
      </w:r>
      <w:r>
        <w:rPr>
          <w:rFonts w:hint="eastAsia" w:eastAsia="宋体"/>
          <w:i/>
          <w:iCs/>
          <w:szCs w:val="20"/>
        </w:rPr>
        <w:t>t configurations.</w:t>
      </w:r>
    </w:p>
    <w:p>
      <w:pPr>
        <w:snapToGrid w:val="0"/>
        <w:spacing w:before="72" w:beforeLines="30" w:after="72" w:afterLines="30" w:line="288" w:lineRule="auto"/>
        <w:jc w:val="both"/>
        <w:rPr>
          <w:rFonts w:eastAsia="宋体"/>
          <w:i/>
          <w:iCs/>
        </w:rPr>
      </w:pPr>
      <w:r>
        <w:rPr>
          <w:rFonts w:hint="eastAsia" w:eastAsia="宋体"/>
          <w:b/>
          <w:bCs/>
          <w:i/>
          <w:iCs/>
        </w:rPr>
        <w:t>Proposal 8:</w:t>
      </w:r>
      <w:r>
        <w:rPr>
          <w:rFonts w:hint="eastAsia" w:eastAsia="宋体"/>
          <w:i/>
          <w:iCs/>
        </w:rPr>
        <w:t xml:space="preserve"> Regarding the second UL channel for Mode A for UE-initiated/event-driven beam reporting, support that the second UL channel is PUSCH.</w:t>
      </w:r>
    </w:p>
    <w:p>
      <w:pPr>
        <w:numPr>
          <w:ilvl w:val="0"/>
          <w:numId w:val="10"/>
        </w:numPr>
        <w:snapToGrid w:val="0"/>
        <w:spacing w:before="72" w:beforeLines="30" w:after="72" w:afterLines="30" w:line="288" w:lineRule="auto"/>
        <w:jc w:val="both"/>
        <w:rPr>
          <w:rFonts w:eastAsia="宋体"/>
        </w:rPr>
      </w:pPr>
      <w:r>
        <w:rPr>
          <w:rFonts w:hint="eastAsia" w:eastAsia="宋体"/>
          <w:i/>
          <w:iCs/>
          <w:szCs w:val="20"/>
        </w:rPr>
        <w:t>FFS: Whether/how to reuse CSI omission rule to handle the case that the second UL channel is not capable of carrying all the beam reports.</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Regarding the second UL channel for Mode B for UE-initiated/event-driven beam reporting, support that the second UL channel is PUSCH.</w:t>
      </w:r>
    </w:p>
    <w:p>
      <w:pPr>
        <w:numPr>
          <w:ilvl w:val="0"/>
          <w:numId w:val="10"/>
        </w:numPr>
        <w:snapToGrid w:val="0"/>
        <w:spacing w:before="72" w:beforeLines="30" w:after="72" w:afterLines="30" w:line="288" w:lineRule="auto"/>
        <w:jc w:val="both"/>
        <w:rPr>
          <w:rFonts w:eastAsia="宋体"/>
          <w:i/>
        </w:rPr>
      </w:pPr>
      <w:r>
        <w:rPr>
          <w:rFonts w:hint="eastAsia" w:eastAsia="宋体"/>
          <w:i/>
        </w:rPr>
        <w:t>The uplink resource for the second UL channel is commonly configured for report configurations on all cells.</w:t>
      </w:r>
    </w:p>
    <w:p>
      <w:pPr>
        <w:numPr>
          <w:ilvl w:val="1"/>
          <w:numId w:val="10"/>
        </w:numPr>
        <w:snapToGrid w:val="0"/>
        <w:spacing w:before="72" w:beforeLines="30" w:after="72" w:afterLines="30" w:line="288" w:lineRule="auto"/>
        <w:ind w:left="840" w:leftChars="0" w:hanging="420" w:firstLineChars="0"/>
        <w:jc w:val="both"/>
        <w:rPr>
          <w:rFonts w:eastAsia="宋体"/>
          <w:i/>
        </w:rPr>
      </w:pPr>
      <w:r>
        <w:rPr>
          <w:rFonts w:hint="eastAsia" w:eastAsia="宋体"/>
          <w:i/>
        </w:rPr>
        <w:t>FFS: Report format to support cross-CC beam reporting.</w:t>
      </w:r>
    </w:p>
    <w:p>
      <w:pPr>
        <w:numPr>
          <w:ilvl w:val="0"/>
          <w:numId w:val="10"/>
        </w:numPr>
        <w:snapToGrid w:val="0"/>
        <w:spacing w:before="72" w:beforeLines="30" w:after="72" w:afterLines="30" w:line="288" w:lineRule="auto"/>
        <w:jc w:val="both"/>
        <w:rPr>
          <w:rFonts w:eastAsia="宋体"/>
          <w:i/>
          <w:iCs/>
        </w:rPr>
      </w:pPr>
      <w:r>
        <w:rPr>
          <w:rFonts w:hint="eastAsia" w:eastAsia="宋体"/>
          <w:i/>
        </w:rPr>
        <w:t>CG-PUSCH can be configured for the second UL channel.</w:t>
      </w:r>
    </w:p>
    <w:p>
      <w:pPr>
        <w:numPr>
          <w:ilvl w:val="0"/>
          <w:numId w:val="10"/>
        </w:numPr>
        <w:snapToGrid w:val="0"/>
        <w:spacing w:before="72" w:beforeLines="30" w:after="72" w:afterLines="30" w:line="288" w:lineRule="auto"/>
        <w:jc w:val="both"/>
        <w:rPr>
          <w:rFonts w:eastAsia="宋体"/>
          <w:i/>
          <w:iCs/>
        </w:rPr>
      </w:pPr>
      <w:r>
        <w:rPr>
          <w:rFonts w:hint="eastAsia" w:eastAsia="宋体"/>
          <w:i/>
        </w:rPr>
        <w:t>FFS: Whether/how to reuse CSI omission rule to handle the case that the second UL channel is not capable of carrying all the beam reports.</w:t>
      </w:r>
      <w:r>
        <w:rPr>
          <w:rFonts w:eastAsia="宋体"/>
          <w:i/>
          <w:iCs/>
        </w:rPr>
        <w:t xml:space="preserve"> </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9"/>
        </w:numPr>
        <w:snapToGrid w:val="0"/>
        <w:spacing w:before="72" w:beforeLines="30" w:after="72" w:afterLines="30" w:line="288" w:lineRule="auto"/>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NR MIMO Phase 5</w:t>
      </w:r>
      <w:r>
        <w:rPr>
          <w:bCs/>
          <w:sz w:val="20"/>
          <w:szCs w:val="20"/>
        </w:rPr>
        <w:t>, Moderator</w:t>
      </w:r>
      <w:r>
        <w:rPr>
          <w:rFonts w:hint="eastAsia"/>
          <w:bCs/>
          <w:sz w:val="20"/>
          <w:szCs w:val="20"/>
        </w:rPr>
        <w:t xml:space="preserve"> (</w:t>
      </w:r>
      <w:r>
        <w:rPr>
          <w:bCs/>
          <w:sz w:val="20"/>
          <w:szCs w:val="20"/>
        </w:rPr>
        <w:t>Samsung</w:t>
      </w:r>
      <w:r>
        <w:rPr>
          <w:rFonts w:hint="eastAsia"/>
          <w:bCs/>
          <w:sz w:val="20"/>
          <w:szCs w:val="20"/>
        </w:rPr>
        <w:t>)</w:t>
      </w:r>
    </w:p>
    <w:p>
      <w:pPr>
        <w:pStyle w:val="73"/>
        <w:numPr>
          <w:ilvl w:val="0"/>
          <w:numId w:val="19"/>
        </w:numPr>
        <w:snapToGrid w:val="0"/>
        <w:spacing w:before="72" w:beforeLines="30" w:after="72" w:afterLines="30" w:line="288" w:lineRule="auto"/>
        <w:jc w:val="both"/>
        <w:rPr>
          <w:bCs/>
          <w:sz w:val="20"/>
          <w:szCs w:val="20"/>
        </w:rPr>
      </w:pPr>
      <w:r>
        <w:rPr>
          <w:rFonts w:hint="eastAsia"/>
          <w:bCs/>
          <w:sz w:val="20"/>
          <w:szCs w:val="20"/>
        </w:rPr>
        <w:t>Chair Notes RAN1#116bis eom2, Apr. 15th - 19th, 2024, 3GPP RAN1</w:t>
      </w:r>
    </w:p>
    <w:p>
      <w:pPr>
        <w:pStyle w:val="73"/>
        <w:numPr>
          <w:ilvl w:val="0"/>
          <w:numId w:val="19"/>
        </w:numPr>
        <w:snapToGrid w:val="0"/>
        <w:spacing w:before="72" w:beforeLines="30" w:after="72" w:afterLines="30" w:line="288" w:lineRule="auto"/>
        <w:jc w:val="both"/>
        <w:rPr>
          <w:bCs/>
          <w:sz w:val="20"/>
          <w:szCs w:val="20"/>
        </w:rPr>
      </w:pPr>
      <w:r>
        <w:rPr>
          <w:rFonts w:hint="eastAsia"/>
          <w:bCs/>
          <w:sz w:val="20"/>
          <w:szCs w:val="20"/>
        </w:rPr>
        <w:t>Chair Notes RAN1#116 eom0, Feb. 26nd - Mar. 1st, 2024, 3GPP RAN1</w:t>
      </w:r>
    </w:p>
    <w:p>
      <w:pPr>
        <w:pStyle w:val="73"/>
        <w:numPr>
          <w:ilvl w:val="0"/>
          <w:numId w:val="19"/>
        </w:numPr>
        <w:snapToGrid w:val="0"/>
        <w:spacing w:before="72" w:beforeLines="30" w:after="72" w:afterLines="30" w:line="288" w:lineRule="auto"/>
        <w:jc w:val="both"/>
        <w:rPr>
          <w:bCs/>
          <w:sz w:val="20"/>
          <w:szCs w:val="20"/>
        </w:rPr>
      </w:pPr>
      <w:r>
        <w:rPr>
          <w:rFonts w:hint="eastAsia"/>
          <w:bCs/>
          <w:sz w:val="20"/>
          <w:szCs w:val="20"/>
        </w:rPr>
        <w:t xml:space="preserve">R1-2007151, R17 FeMIMO summary Item 1 EVM, </w:t>
      </w:r>
      <w:r>
        <w:rPr>
          <w:bCs/>
          <w:sz w:val="20"/>
          <w:szCs w:val="20"/>
        </w:rPr>
        <w:t>Moderator</w:t>
      </w:r>
      <w:r>
        <w:rPr>
          <w:rFonts w:hint="eastAsia"/>
          <w:bCs/>
          <w:sz w:val="20"/>
          <w:szCs w:val="20"/>
        </w:rPr>
        <w:t xml:space="preserve"> (</w:t>
      </w:r>
      <w:r>
        <w:rPr>
          <w:bCs/>
          <w:sz w:val="20"/>
          <w:szCs w:val="20"/>
        </w:rPr>
        <w:t>Samsung</w:t>
      </w:r>
      <w:r>
        <w:rPr>
          <w:rFonts w:hint="eastAsia"/>
          <w:bCs/>
          <w:sz w:val="20"/>
          <w:szCs w:val="20"/>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Batang">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B125B700"/>
    <w:multiLevelType w:val="multilevel"/>
    <w:tmpl w:val="B125B70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
    <w:nsid w:val="B8AC6206"/>
    <w:multiLevelType w:val="multilevel"/>
    <w:tmpl w:val="B8AC6206"/>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o"/>
      <w:lvlJc w:val="left"/>
      <w:pPr>
        <w:tabs>
          <w:tab w:val="left" w:pos="-420"/>
        </w:tabs>
        <w:ind w:left="1980" w:hanging="400"/>
      </w:pPr>
      <w:rPr>
        <w:rFonts w:hint="default" w:ascii="Courier New" w:hAnsi="Courier New" w:cs="Courier New"/>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3">
    <w:nsid w:val="C12F2FC2"/>
    <w:multiLevelType w:val="singleLevel"/>
    <w:tmpl w:val="C12F2FC2"/>
    <w:lvl w:ilvl="0" w:tentative="0">
      <w:start w:val="1"/>
      <w:numFmt w:val="bullet"/>
      <w:lvlText w:val=""/>
      <w:lvlJc w:val="left"/>
      <w:pPr>
        <w:ind w:left="420" w:hanging="420"/>
      </w:pPr>
      <w:rPr>
        <w:rFonts w:hint="default" w:ascii="Wingdings" w:hAnsi="Wingdings"/>
      </w:rPr>
    </w:lvl>
  </w:abstractNum>
  <w:abstractNum w:abstractNumId="4">
    <w:nsid w:val="FC5C8B01"/>
    <w:multiLevelType w:val="multilevel"/>
    <w:tmpl w:val="FC5C8B01"/>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0">
    <w:nsid w:val="4C1F4055"/>
    <w:multiLevelType w:val="singleLevel"/>
    <w:tmpl w:val="4C1F4055"/>
    <w:lvl w:ilvl="0" w:tentative="0">
      <w:start w:val="1"/>
      <w:numFmt w:val="bullet"/>
      <w:lvlText w:val=""/>
      <w:lvlJc w:val="left"/>
      <w:pPr>
        <w:ind w:left="420" w:hanging="420"/>
      </w:pPr>
      <w:rPr>
        <w:rFonts w:hint="default" w:ascii="Wingdings" w:hAnsi="Wingdings"/>
      </w:rPr>
    </w:lvl>
  </w:abstractNum>
  <w:abstractNum w:abstractNumId="11">
    <w:nsid w:val="4ED9C817"/>
    <w:multiLevelType w:val="multilevel"/>
    <w:tmpl w:val="4ED9C817"/>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2">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8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3">
    <w:nsid w:val="53B52DB0"/>
    <w:multiLevelType w:val="multilevel"/>
    <w:tmpl w:val="53B52DB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4">
    <w:nsid w:val="5E93823A"/>
    <w:multiLevelType w:val="singleLevel"/>
    <w:tmpl w:val="5E93823A"/>
    <w:lvl w:ilvl="0" w:tentative="0">
      <w:start w:val="1"/>
      <w:numFmt w:val="decimal"/>
      <w:suff w:val="space"/>
      <w:lvlText w:val="[%1]"/>
      <w:lvlJc w:val="left"/>
    </w:lvl>
  </w:abstractNum>
  <w:abstractNum w:abstractNumId="1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18"/>
  </w:num>
  <w:num w:numId="4">
    <w:abstractNumId w:val="6"/>
  </w:num>
  <w:num w:numId="5">
    <w:abstractNumId w:val="16"/>
  </w:num>
  <w:num w:numId="6">
    <w:abstractNumId w:val="9"/>
  </w:num>
  <w:num w:numId="7">
    <w:abstractNumId w:val="7"/>
  </w:num>
  <w:num w:numId="8">
    <w:abstractNumId w:val="15"/>
  </w:num>
  <w:num w:numId="9">
    <w:abstractNumId w:val="4"/>
  </w:num>
  <w:num w:numId="10">
    <w:abstractNumId w:val="8"/>
  </w:num>
  <w:num w:numId="11">
    <w:abstractNumId w:val="12"/>
  </w:num>
  <w:num w:numId="12">
    <w:abstractNumId w:val="1"/>
  </w:num>
  <w:num w:numId="13">
    <w:abstractNumId w:val="10"/>
  </w:num>
  <w:num w:numId="14">
    <w:abstractNumId w:val="17"/>
  </w:num>
  <w:num w:numId="15">
    <w:abstractNumId w:val="13"/>
  </w:num>
  <w:num w:numId="16">
    <w:abstractNumId w:val="3"/>
  </w:num>
  <w:num w:numId="17">
    <w:abstractNumId w:val="2"/>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AC7"/>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2A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3"/>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F8"/>
    <w:rsid w:val="00320907"/>
    <w:rsid w:val="00320CF6"/>
    <w:rsid w:val="0032146D"/>
    <w:rsid w:val="00321492"/>
    <w:rsid w:val="003214CC"/>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CE8"/>
    <w:rsid w:val="00417D03"/>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143"/>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EF0"/>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1DE"/>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83"/>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AE7"/>
    <w:rsid w:val="00A01C03"/>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86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11"/>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4D1"/>
    <w:rsid w:val="00CB1694"/>
    <w:rsid w:val="00CB1874"/>
    <w:rsid w:val="00CB1958"/>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4E74"/>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180"/>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D2F"/>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120E66"/>
    <w:rsid w:val="0115454E"/>
    <w:rsid w:val="01242C11"/>
    <w:rsid w:val="0133236C"/>
    <w:rsid w:val="013B5510"/>
    <w:rsid w:val="013C195E"/>
    <w:rsid w:val="013C4497"/>
    <w:rsid w:val="013D13C6"/>
    <w:rsid w:val="0140787E"/>
    <w:rsid w:val="01422B07"/>
    <w:rsid w:val="01462EFE"/>
    <w:rsid w:val="015E0BE9"/>
    <w:rsid w:val="016847E7"/>
    <w:rsid w:val="018F1416"/>
    <w:rsid w:val="01AB094A"/>
    <w:rsid w:val="01AE21DC"/>
    <w:rsid w:val="01B306E4"/>
    <w:rsid w:val="01D27A5F"/>
    <w:rsid w:val="01DB4A64"/>
    <w:rsid w:val="01E81A27"/>
    <w:rsid w:val="01F37365"/>
    <w:rsid w:val="01F9714C"/>
    <w:rsid w:val="02004B2C"/>
    <w:rsid w:val="0201766A"/>
    <w:rsid w:val="020E5459"/>
    <w:rsid w:val="02151F95"/>
    <w:rsid w:val="02165CD7"/>
    <w:rsid w:val="021C2098"/>
    <w:rsid w:val="02274CF6"/>
    <w:rsid w:val="022A4AA1"/>
    <w:rsid w:val="022E47B0"/>
    <w:rsid w:val="02320E86"/>
    <w:rsid w:val="02434112"/>
    <w:rsid w:val="02554999"/>
    <w:rsid w:val="02565169"/>
    <w:rsid w:val="02574326"/>
    <w:rsid w:val="025B75F9"/>
    <w:rsid w:val="026D0BFF"/>
    <w:rsid w:val="02762CB4"/>
    <w:rsid w:val="02767EF6"/>
    <w:rsid w:val="027F75CB"/>
    <w:rsid w:val="02874D3F"/>
    <w:rsid w:val="028C4EAA"/>
    <w:rsid w:val="029B47FF"/>
    <w:rsid w:val="02A01AB0"/>
    <w:rsid w:val="02B2265C"/>
    <w:rsid w:val="02B34E07"/>
    <w:rsid w:val="02DC5D29"/>
    <w:rsid w:val="02E67121"/>
    <w:rsid w:val="02E818F1"/>
    <w:rsid w:val="02EE6889"/>
    <w:rsid w:val="02FF5491"/>
    <w:rsid w:val="030F5EB8"/>
    <w:rsid w:val="031B3D3A"/>
    <w:rsid w:val="031B4B18"/>
    <w:rsid w:val="032063E6"/>
    <w:rsid w:val="0329798B"/>
    <w:rsid w:val="03300F14"/>
    <w:rsid w:val="03382F46"/>
    <w:rsid w:val="033A53C5"/>
    <w:rsid w:val="033D46E5"/>
    <w:rsid w:val="03460D15"/>
    <w:rsid w:val="0362687D"/>
    <w:rsid w:val="03653EA6"/>
    <w:rsid w:val="037C375A"/>
    <w:rsid w:val="037C3EB8"/>
    <w:rsid w:val="037C5BED"/>
    <w:rsid w:val="038317D7"/>
    <w:rsid w:val="03871F70"/>
    <w:rsid w:val="03915486"/>
    <w:rsid w:val="03A528F7"/>
    <w:rsid w:val="03AE2B70"/>
    <w:rsid w:val="03B030F7"/>
    <w:rsid w:val="03C06834"/>
    <w:rsid w:val="03C200B6"/>
    <w:rsid w:val="03C61C73"/>
    <w:rsid w:val="03D81924"/>
    <w:rsid w:val="03E9024B"/>
    <w:rsid w:val="03E925DE"/>
    <w:rsid w:val="03EF321E"/>
    <w:rsid w:val="03F638B5"/>
    <w:rsid w:val="042B188D"/>
    <w:rsid w:val="04314521"/>
    <w:rsid w:val="04322C7E"/>
    <w:rsid w:val="043A302C"/>
    <w:rsid w:val="043B4D0A"/>
    <w:rsid w:val="043F479D"/>
    <w:rsid w:val="04515159"/>
    <w:rsid w:val="045257BD"/>
    <w:rsid w:val="045453B9"/>
    <w:rsid w:val="04694EAC"/>
    <w:rsid w:val="046A03D5"/>
    <w:rsid w:val="046C35A2"/>
    <w:rsid w:val="04757AF8"/>
    <w:rsid w:val="04852804"/>
    <w:rsid w:val="048E35DC"/>
    <w:rsid w:val="0492209E"/>
    <w:rsid w:val="049406C4"/>
    <w:rsid w:val="04B345F7"/>
    <w:rsid w:val="04BE7DD0"/>
    <w:rsid w:val="04C174A0"/>
    <w:rsid w:val="04C80C0B"/>
    <w:rsid w:val="04CD0148"/>
    <w:rsid w:val="04EB3650"/>
    <w:rsid w:val="04F915E5"/>
    <w:rsid w:val="05081EC1"/>
    <w:rsid w:val="050D0125"/>
    <w:rsid w:val="051B02F6"/>
    <w:rsid w:val="052B2B3D"/>
    <w:rsid w:val="054445DB"/>
    <w:rsid w:val="055A06C9"/>
    <w:rsid w:val="05644CA9"/>
    <w:rsid w:val="056B33A0"/>
    <w:rsid w:val="05702DF2"/>
    <w:rsid w:val="05733EFD"/>
    <w:rsid w:val="058A745F"/>
    <w:rsid w:val="058D2653"/>
    <w:rsid w:val="05930449"/>
    <w:rsid w:val="05A11E98"/>
    <w:rsid w:val="05AB6C7C"/>
    <w:rsid w:val="05B56F8C"/>
    <w:rsid w:val="05C06E8C"/>
    <w:rsid w:val="05C154CA"/>
    <w:rsid w:val="05C70721"/>
    <w:rsid w:val="05CF1D27"/>
    <w:rsid w:val="05E43649"/>
    <w:rsid w:val="05EA3121"/>
    <w:rsid w:val="05EB37CA"/>
    <w:rsid w:val="05EF39F0"/>
    <w:rsid w:val="06073C3A"/>
    <w:rsid w:val="06093003"/>
    <w:rsid w:val="060D79A1"/>
    <w:rsid w:val="060E00E0"/>
    <w:rsid w:val="06143284"/>
    <w:rsid w:val="06197729"/>
    <w:rsid w:val="0622111A"/>
    <w:rsid w:val="06257099"/>
    <w:rsid w:val="0632692A"/>
    <w:rsid w:val="064244D9"/>
    <w:rsid w:val="06511ACC"/>
    <w:rsid w:val="06564BA4"/>
    <w:rsid w:val="067751BD"/>
    <w:rsid w:val="06A11B02"/>
    <w:rsid w:val="06B34C51"/>
    <w:rsid w:val="06BA6ABF"/>
    <w:rsid w:val="06C62058"/>
    <w:rsid w:val="06CF7159"/>
    <w:rsid w:val="06D32D7E"/>
    <w:rsid w:val="06DD3D71"/>
    <w:rsid w:val="06E21138"/>
    <w:rsid w:val="06E64C63"/>
    <w:rsid w:val="06F24EF2"/>
    <w:rsid w:val="07470651"/>
    <w:rsid w:val="074F79E7"/>
    <w:rsid w:val="075815C4"/>
    <w:rsid w:val="07934010"/>
    <w:rsid w:val="07973398"/>
    <w:rsid w:val="079D12CF"/>
    <w:rsid w:val="07A46BE4"/>
    <w:rsid w:val="07AE7932"/>
    <w:rsid w:val="07B814E5"/>
    <w:rsid w:val="07D013A8"/>
    <w:rsid w:val="07D648D8"/>
    <w:rsid w:val="07DF5024"/>
    <w:rsid w:val="07E22A7A"/>
    <w:rsid w:val="07FD44E9"/>
    <w:rsid w:val="0805407D"/>
    <w:rsid w:val="080F78BF"/>
    <w:rsid w:val="08127126"/>
    <w:rsid w:val="08132E8B"/>
    <w:rsid w:val="081D706E"/>
    <w:rsid w:val="08453F53"/>
    <w:rsid w:val="085066C7"/>
    <w:rsid w:val="0852564D"/>
    <w:rsid w:val="085D519A"/>
    <w:rsid w:val="086378F2"/>
    <w:rsid w:val="086D1BC3"/>
    <w:rsid w:val="08706B4B"/>
    <w:rsid w:val="087E5043"/>
    <w:rsid w:val="0882323D"/>
    <w:rsid w:val="08862464"/>
    <w:rsid w:val="088B79C8"/>
    <w:rsid w:val="08CE61CB"/>
    <w:rsid w:val="08D2064E"/>
    <w:rsid w:val="08E346E3"/>
    <w:rsid w:val="08F44BC5"/>
    <w:rsid w:val="08FA203B"/>
    <w:rsid w:val="090A5EB9"/>
    <w:rsid w:val="091467A3"/>
    <w:rsid w:val="0923103D"/>
    <w:rsid w:val="093A1D12"/>
    <w:rsid w:val="093A51B7"/>
    <w:rsid w:val="09430F9C"/>
    <w:rsid w:val="094B14E7"/>
    <w:rsid w:val="095017F1"/>
    <w:rsid w:val="0950242B"/>
    <w:rsid w:val="095256C8"/>
    <w:rsid w:val="09664D4F"/>
    <w:rsid w:val="096807A5"/>
    <w:rsid w:val="0970282E"/>
    <w:rsid w:val="097317EC"/>
    <w:rsid w:val="09755A16"/>
    <w:rsid w:val="09964D40"/>
    <w:rsid w:val="09A6541D"/>
    <w:rsid w:val="09AB29D4"/>
    <w:rsid w:val="09E87090"/>
    <w:rsid w:val="09F842D5"/>
    <w:rsid w:val="09F97D63"/>
    <w:rsid w:val="09FD0440"/>
    <w:rsid w:val="0A0518AB"/>
    <w:rsid w:val="0A085C07"/>
    <w:rsid w:val="0A0D50DF"/>
    <w:rsid w:val="0A32370E"/>
    <w:rsid w:val="0A3247B9"/>
    <w:rsid w:val="0A585A2D"/>
    <w:rsid w:val="0A594E3E"/>
    <w:rsid w:val="0A5C768D"/>
    <w:rsid w:val="0A69260C"/>
    <w:rsid w:val="0A6F50FD"/>
    <w:rsid w:val="0A934843"/>
    <w:rsid w:val="0A980D85"/>
    <w:rsid w:val="0A9E4A8D"/>
    <w:rsid w:val="0A9F2012"/>
    <w:rsid w:val="0AAA6D9C"/>
    <w:rsid w:val="0AAF64F9"/>
    <w:rsid w:val="0AB15DD5"/>
    <w:rsid w:val="0AB53627"/>
    <w:rsid w:val="0AB6376C"/>
    <w:rsid w:val="0ACE1EAB"/>
    <w:rsid w:val="0AE1593F"/>
    <w:rsid w:val="0AE57C7B"/>
    <w:rsid w:val="0AE65CB9"/>
    <w:rsid w:val="0AE71F9A"/>
    <w:rsid w:val="0AE7556B"/>
    <w:rsid w:val="0AE96B11"/>
    <w:rsid w:val="0AED2D1C"/>
    <w:rsid w:val="0AFD09EB"/>
    <w:rsid w:val="0AFF05E6"/>
    <w:rsid w:val="0B07538C"/>
    <w:rsid w:val="0B0F03B9"/>
    <w:rsid w:val="0B1338B8"/>
    <w:rsid w:val="0B1A274D"/>
    <w:rsid w:val="0B227BC7"/>
    <w:rsid w:val="0B254ED4"/>
    <w:rsid w:val="0B2B6D2A"/>
    <w:rsid w:val="0B2D5BF1"/>
    <w:rsid w:val="0B2E5D46"/>
    <w:rsid w:val="0B3A4E5B"/>
    <w:rsid w:val="0B426855"/>
    <w:rsid w:val="0B536C32"/>
    <w:rsid w:val="0B5823AA"/>
    <w:rsid w:val="0B595FAD"/>
    <w:rsid w:val="0B6E0FF5"/>
    <w:rsid w:val="0B7646AE"/>
    <w:rsid w:val="0B827907"/>
    <w:rsid w:val="0B8C4C1A"/>
    <w:rsid w:val="0B9549DB"/>
    <w:rsid w:val="0B9D13EC"/>
    <w:rsid w:val="0BA07E46"/>
    <w:rsid w:val="0BAB6C9C"/>
    <w:rsid w:val="0BAE32C3"/>
    <w:rsid w:val="0BB56784"/>
    <w:rsid w:val="0BC032D6"/>
    <w:rsid w:val="0BC10793"/>
    <w:rsid w:val="0BDB1E35"/>
    <w:rsid w:val="0BDB6546"/>
    <w:rsid w:val="0BE0571E"/>
    <w:rsid w:val="0BE32529"/>
    <w:rsid w:val="0BE34FBA"/>
    <w:rsid w:val="0C005070"/>
    <w:rsid w:val="0C0A437F"/>
    <w:rsid w:val="0C195365"/>
    <w:rsid w:val="0C1A6BD3"/>
    <w:rsid w:val="0C1D70C9"/>
    <w:rsid w:val="0C3314C7"/>
    <w:rsid w:val="0C6170AA"/>
    <w:rsid w:val="0C6F4E58"/>
    <w:rsid w:val="0C76751C"/>
    <w:rsid w:val="0CBC2227"/>
    <w:rsid w:val="0CDA09F1"/>
    <w:rsid w:val="0CE30760"/>
    <w:rsid w:val="0CEA5470"/>
    <w:rsid w:val="0CFB1DB9"/>
    <w:rsid w:val="0D103D70"/>
    <w:rsid w:val="0D220294"/>
    <w:rsid w:val="0D233EDD"/>
    <w:rsid w:val="0D283356"/>
    <w:rsid w:val="0D3A4A42"/>
    <w:rsid w:val="0D5773D6"/>
    <w:rsid w:val="0D594DB6"/>
    <w:rsid w:val="0D632B1E"/>
    <w:rsid w:val="0D6E771D"/>
    <w:rsid w:val="0D733852"/>
    <w:rsid w:val="0D7D7848"/>
    <w:rsid w:val="0D80206A"/>
    <w:rsid w:val="0D8E173E"/>
    <w:rsid w:val="0D9925C9"/>
    <w:rsid w:val="0DA10A04"/>
    <w:rsid w:val="0DA80F7D"/>
    <w:rsid w:val="0DD74FA9"/>
    <w:rsid w:val="0DF13B47"/>
    <w:rsid w:val="0E0A5187"/>
    <w:rsid w:val="0E316BA2"/>
    <w:rsid w:val="0E332166"/>
    <w:rsid w:val="0E3917FF"/>
    <w:rsid w:val="0E3F492F"/>
    <w:rsid w:val="0E613656"/>
    <w:rsid w:val="0E72787E"/>
    <w:rsid w:val="0E7F1356"/>
    <w:rsid w:val="0E86024B"/>
    <w:rsid w:val="0E983A75"/>
    <w:rsid w:val="0E9F5739"/>
    <w:rsid w:val="0EAB569D"/>
    <w:rsid w:val="0EB96849"/>
    <w:rsid w:val="0EBA6C3E"/>
    <w:rsid w:val="0EC3008E"/>
    <w:rsid w:val="0EDB339F"/>
    <w:rsid w:val="0EDF3395"/>
    <w:rsid w:val="0EF2082E"/>
    <w:rsid w:val="0EF5454E"/>
    <w:rsid w:val="0F0F7C45"/>
    <w:rsid w:val="0F125211"/>
    <w:rsid w:val="0F152A9D"/>
    <w:rsid w:val="0F1E6D2F"/>
    <w:rsid w:val="0F1E7B0D"/>
    <w:rsid w:val="0F2A7AC4"/>
    <w:rsid w:val="0F605D69"/>
    <w:rsid w:val="0F62047F"/>
    <w:rsid w:val="0F672523"/>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0FEF2DCF"/>
    <w:rsid w:val="10040C3F"/>
    <w:rsid w:val="100B59FA"/>
    <w:rsid w:val="10110CDB"/>
    <w:rsid w:val="10206D1E"/>
    <w:rsid w:val="10357330"/>
    <w:rsid w:val="103B7609"/>
    <w:rsid w:val="10592ADF"/>
    <w:rsid w:val="105F040B"/>
    <w:rsid w:val="10600555"/>
    <w:rsid w:val="10682E8F"/>
    <w:rsid w:val="10701270"/>
    <w:rsid w:val="107A5169"/>
    <w:rsid w:val="107B4EBF"/>
    <w:rsid w:val="107C4D2C"/>
    <w:rsid w:val="10881C30"/>
    <w:rsid w:val="108A6F8A"/>
    <w:rsid w:val="10907B90"/>
    <w:rsid w:val="10982CE6"/>
    <w:rsid w:val="109C0F24"/>
    <w:rsid w:val="10A27296"/>
    <w:rsid w:val="10A32DF1"/>
    <w:rsid w:val="10A45B57"/>
    <w:rsid w:val="10A50D79"/>
    <w:rsid w:val="10A6159F"/>
    <w:rsid w:val="10AB24DF"/>
    <w:rsid w:val="10C04807"/>
    <w:rsid w:val="10D4182A"/>
    <w:rsid w:val="10D42E50"/>
    <w:rsid w:val="10D651F1"/>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BC35EF"/>
    <w:rsid w:val="11C557B7"/>
    <w:rsid w:val="11DD789B"/>
    <w:rsid w:val="120B6EA9"/>
    <w:rsid w:val="1228310E"/>
    <w:rsid w:val="12313D6F"/>
    <w:rsid w:val="12325B1D"/>
    <w:rsid w:val="123D7598"/>
    <w:rsid w:val="12444F04"/>
    <w:rsid w:val="1244691E"/>
    <w:rsid w:val="1251591B"/>
    <w:rsid w:val="12610602"/>
    <w:rsid w:val="126B461E"/>
    <w:rsid w:val="127D72F2"/>
    <w:rsid w:val="12874FEB"/>
    <w:rsid w:val="12A727B4"/>
    <w:rsid w:val="12A908D3"/>
    <w:rsid w:val="12AA7F02"/>
    <w:rsid w:val="12B31A9B"/>
    <w:rsid w:val="12B47253"/>
    <w:rsid w:val="12B87548"/>
    <w:rsid w:val="12C14396"/>
    <w:rsid w:val="12CA5052"/>
    <w:rsid w:val="12DC36AA"/>
    <w:rsid w:val="12DE33CA"/>
    <w:rsid w:val="12EA7758"/>
    <w:rsid w:val="12ED73AB"/>
    <w:rsid w:val="12FA679C"/>
    <w:rsid w:val="12FC274E"/>
    <w:rsid w:val="12FF52DE"/>
    <w:rsid w:val="13030235"/>
    <w:rsid w:val="13063F94"/>
    <w:rsid w:val="13101816"/>
    <w:rsid w:val="13344C16"/>
    <w:rsid w:val="1343505A"/>
    <w:rsid w:val="13446954"/>
    <w:rsid w:val="13544A6B"/>
    <w:rsid w:val="13596CEC"/>
    <w:rsid w:val="135C3AB9"/>
    <w:rsid w:val="136B08B3"/>
    <w:rsid w:val="137A40BD"/>
    <w:rsid w:val="138F4ADA"/>
    <w:rsid w:val="13910B1E"/>
    <w:rsid w:val="13B158DD"/>
    <w:rsid w:val="13B563DA"/>
    <w:rsid w:val="13BB569E"/>
    <w:rsid w:val="13BD31AB"/>
    <w:rsid w:val="13C53BCF"/>
    <w:rsid w:val="13C55B19"/>
    <w:rsid w:val="13C7122C"/>
    <w:rsid w:val="13CD27B6"/>
    <w:rsid w:val="13E532CA"/>
    <w:rsid w:val="13EA24B1"/>
    <w:rsid w:val="13ED0B0B"/>
    <w:rsid w:val="13ED7D7F"/>
    <w:rsid w:val="13F96221"/>
    <w:rsid w:val="14007100"/>
    <w:rsid w:val="14055497"/>
    <w:rsid w:val="14145A78"/>
    <w:rsid w:val="14176353"/>
    <w:rsid w:val="141F7FB3"/>
    <w:rsid w:val="14226FC4"/>
    <w:rsid w:val="14242FDA"/>
    <w:rsid w:val="1424567A"/>
    <w:rsid w:val="14436E72"/>
    <w:rsid w:val="144F55C3"/>
    <w:rsid w:val="1450322B"/>
    <w:rsid w:val="145207A2"/>
    <w:rsid w:val="14524507"/>
    <w:rsid w:val="14547E86"/>
    <w:rsid w:val="14637D36"/>
    <w:rsid w:val="146D7907"/>
    <w:rsid w:val="147C2A02"/>
    <w:rsid w:val="147E33CA"/>
    <w:rsid w:val="14804E60"/>
    <w:rsid w:val="14827F07"/>
    <w:rsid w:val="1487373C"/>
    <w:rsid w:val="14960C1B"/>
    <w:rsid w:val="14A6749E"/>
    <w:rsid w:val="14B0700C"/>
    <w:rsid w:val="14C02505"/>
    <w:rsid w:val="14C34089"/>
    <w:rsid w:val="14CB5204"/>
    <w:rsid w:val="14CD05EB"/>
    <w:rsid w:val="14D35BD9"/>
    <w:rsid w:val="14DB33FC"/>
    <w:rsid w:val="14DE0AFC"/>
    <w:rsid w:val="14E7787F"/>
    <w:rsid w:val="14F44F2E"/>
    <w:rsid w:val="1515475D"/>
    <w:rsid w:val="15386363"/>
    <w:rsid w:val="153F5F47"/>
    <w:rsid w:val="15416178"/>
    <w:rsid w:val="1561603B"/>
    <w:rsid w:val="15690DB0"/>
    <w:rsid w:val="157E6456"/>
    <w:rsid w:val="15846412"/>
    <w:rsid w:val="158F48E5"/>
    <w:rsid w:val="15C94A90"/>
    <w:rsid w:val="15D74588"/>
    <w:rsid w:val="15EB4378"/>
    <w:rsid w:val="15FB4E72"/>
    <w:rsid w:val="160B185E"/>
    <w:rsid w:val="160F7157"/>
    <w:rsid w:val="16240B7E"/>
    <w:rsid w:val="1628036C"/>
    <w:rsid w:val="163871EC"/>
    <w:rsid w:val="16407A91"/>
    <w:rsid w:val="164162EA"/>
    <w:rsid w:val="16435A3F"/>
    <w:rsid w:val="16662C80"/>
    <w:rsid w:val="16702D89"/>
    <w:rsid w:val="16704155"/>
    <w:rsid w:val="16796F0F"/>
    <w:rsid w:val="167F480A"/>
    <w:rsid w:val="1688556A"/>
    <w:rsid w:val="168D27C2"/>
    <w:rsid w:val="16A00FDF"/>
    <w:rsid w:val="16A32AAC"/>
    <w:rsid w:val="16A470C1"/>
    <w:rsid w:val="16AF0615"/>
    <w:rsid w:val="16BD0B49"/>
    <w:rsid w:val="16C9587E"/>
    <w:rsid w:val="16D50CFC"/>
    <w:rsid w:val="16E33AB3"/>
    <w:rsid w:val="16EB76EF"/>
    <w:rsid w:val="17141C1D"/>
    <w:rsid w:val="171B0546"/>
    <w:rsid w:val="17304A49"/>
    <w:rsid w:val="173353C2"/>
    <w:rsid w:val="173A18AA"/>
    <w:rsid w:val="174224E7"/>
    <w:rsid w:val="17493381"/>
    <w:rsid w:val="174E3271"/>
    <w:rsid w:val="175E627F"/>
    <w:rsid w:val="178102C8"/>
    <w:rsid w:val="17874ED3"/>
    <w:rsid w:val="17886A2C"/>
    <w:rsid w:val="178F26E7"/>
    <w:rsid w:val="17966843"/>
    <w:rsid w:val="17A9660F"/>
    <w:rsid w:val="17C86BF9"/>
    <w:rsid w:val="17D04B6E"/>
    <w:rsid w:val="17D80F4C"/>
    <w:rsid w:val="17E14521"/>
    <w:rsid w:val="17F07EA2"/>
    <w:rsid w:val="17F779C2"/>
    <w:rsid w:val="18002CEE"/>
    <w:rsid w:val="180414A0"/>
    <w:rsid w:val="18077070"/>
    <w:rsid w:val="18117661"/>
    <w:rsid w:val="182E1F92"/>
    <w:rsid w:val="18414CA2"/>
    <w:rsid w:val="18427458"/>
    <w:rsid w:val="18441143"/>
    <w:rsid w:val="18523ADE"/>
    <w:rsid w:val="18660CD4"/>
    <w:rsid w:val="1866694B"/>
    <w:rsid w:val="186C1ACE"/>
    <w:rsid w:val="186C7B87"/>
    <w:rsid w:val="186D267B"/>
    <w:rsid w:val="18890477"/>
    <w:rsid w:val="188C5B30"/>
    <w:rsid w:val="188C6C7D"/>
    <w:rsid w:val="18960812"/>
    <w:rsid w:val="189C7EF6"/>
    <w:rsid w:val="18B04B4D"/>
    <w:rsid w:val="18C5316D"/>
    <w:rsid w:val="18E61DF6"/>
    <w:rsid w:val="18E87E12"/>
    <w:rsid w:val="18F5052C"/>
    <w:rsid w:val="191D14D9"/>
    <w:rsid w:val="196244DB"/>
    <w:rsid w:val="19693EEF"/>
    <w:rsid w:val="196B5F41"/>
    <w:rsid w:val="199860B4"/>
    <w:rsid w:val="199E1567"/>
    <w:rsid w:val="19A33A02"/>
    <w:rsid w:val="19D1732F"/>
    <w:rsid w:val="19DD2371"/>
    <w:rsid w:val="19F92180"/>
    <w:rsid w:val="1A001213"/>
    <w:rsid w:val="1A0B53D9"/>
    <w:rsid w:val="1A0D4248"/>
    <w:rsid w:val="1A0E6275"/>
    <w:rsid w:val="1A1335CF"/>
    <w:rsid w:val="1A200A74"/>
    <w:rsid w:val="1A2619C2"/>
    <w:rsid w:val="1A2F2398"/>
    <w:rsid w:val="1A3055B8"/>
    <w:rsid w:val="1A344C2A"/>
    <w:rsid w:val="1A3E0E11"/>
    <w:rsid w:val="1A5655AF"/>
    <w:rsid w:val="1A5C4727"/>
    <w:rsid w:val="1A6B5CD7"/>
    <w:rsid w:val="1A9B675D"/>
    <w:rsid w:val="1ABD36BF"/>
    <w:rsid w:val="1AD153DF"/>
    <w:rsid w:val="1AD36372"/>
    <w:rsid w:val="1ADE3E70"/>
    <w:rsid w:val="1AE032B7"/>
    <w:rsid w:val="1AE42348"/>
    <w:rsid w:val="1AE5004C"/>
    <w:rsid w:val="1AF2383D"/>
    <w:rsid w:val="1AF762F6"/>
    <w:rsid w:val="1B01048D"/>
    <w:rsid w:val="1B012875"/>
    <w:rsid w:val="1B157C1A"/>
    <w:rsid w:val="1B1A6E4B"/>
    <w:rsid w:val="1B211C8A"/>
    <w:rsid w:val="1B325062"/>
    <w:rsid w:val="1B572C7F"/>
    <w:rsid w:val="1B5734B2"/>
    <w:rsid w:val="1B6B1162"/>
    <w:rsid w:val="1B741EAE"/>
    <w:rsid w:val="1B99173F"/>
    <w:rsid w:val="1B9E5782"/>
    <w:rsid w:val="1B9F2F5B"/>
    <w:rsid w:val="1BA31D38"/>
    <w:rsid w:val="1BB15A38"/>
    <w:rsid w:val="1BB32D92"/>
    <w:rsid w:val="1BB63E1D"/>
    <w:rsid w:val="1BCA4E13"/>
    <w:rsid w:val="1BD93E58"/>
    <w:rsid w:val="1BDB5923"/>
    <w:rsid w:val="1BE56C8C"/>
    <w:rsid w:val="1BE75134"/>
    <w:rsid w:val="1BEB39AC"/>
    <w:rsid w:val="1C3C5A93"/>
    <w:rsid w:val="1C3D2E04"/>
    <w:rsid w:val="1C3D5C01"/>
    <w:rsid w:val="1C4852DE"/>
    <w:rsid w:val="1C4D45E0"/>
    <w:rsid w:val="1C971D45"/>
    <w:rsid w:val="1CA9456E"/>
    <w:rsid w:val="1CB701AA"/>
    <w:rsid w:val="1CBF0A48"/>
    <w:rsid w:val="1CC5776E"/>
    <w:rsid w:val="1CCA0F66"/>
    <w:rsid w:val="1CD01190"/>
    <w:rsid w:val="1CDD4255"/>
    <w:rsid w:val="1CDE446D"/>
    <w:rsid w:val="1CE20210"/>
    <w:rsid w:val="1CE55FB2"/>
    <w:rsid w:val="1CFA0A2E"/>
    <w:rsid w:val="1D0737DF"/>
    <w:rsid w:val="1D0F49F3"/>
    <w:rsid w:val="1D234999"/>
    <w:rsid w:val="1D26771C"/>
    <w:rsid w:val="1D464FEE"/>
    <w:rsid w:val="1D5D7C71"/>
    <w:rsid w:val="1D5E15AD"/>
    <w:rsid w:val="1D644902"/>
    <w:rsid w:val="1D6B1D16"/>
    <w:rsid w:val="1D7551EF"/>
    <w:rsid w:val="1D8C2BA2"/>
    <w:rsid w:val="1D8F6B81"/>
    <w:rsid w:val="1D905228"/>
    <w:rsid w:val="1D9776E5"/>
    <w:rsid w:val="1D9E7BBD"/>
    <w:rsid w:val="1DAB0536"/>
    <w:rsid w:val="1DAE480F"/>
    <w:rsid w:val="1DBC1C44"/>
    <w:rsid w:val="1DCC2895"/>
    <w:rsid w:val="1DF24DA6"/>
    <w:rsid w:val="1DF43659"/>
    <w:rsid w:val="1DFC21EE"/>
    <w:rsid w:val="1DFF69C5"/>
    <w:rsid w:val="1E004BB5"/>
    <w:rsid w:val="1E0E4DD7"/>
    <w:rsid w:val="1E0E72A0"/>
    <w:rsid w:val="1E202860"/>
    <w:rsid w:val="1E4473F8"/>
    <w:rsid w:val="1E463D59"/>
    <w:rsid w:val="1E490459"/>
    <w:rsid w:val="1E50751B"/>
    <w:rsid w:val="1E545B82"/>
    <w:rsid w:val="1E6D1C74"/>
    <w:rsid w:val="1E736E4E"/>
    <w:rsid w:val="1E7E5EB1"/>
    <w:rsid w:val="1E9B048D"/>
    <w:rsid w:val="1EA61B83"/>
    <w:rsid w:val="1EA82227"/>
    <w:rsid w:val="1EAD188D"/>
    <w:rsid w:val="1EBC7347"/>
    <w:rsid w:val="1EBF31D2"/>
    <w:rsid w:val="1EC114B5"/>
    <w:rsid w:val="1EDC2551"/>
    <w:rsid w:val="1EF23920"/>
    <w:rsid w:val="1EF80396"/>
    <w:rsid w:val="1F032AB6"/>
    <w:rsid w:val="1F075D27"/>
    <w:rsid w:val="1F0E7107"/>
    <w:rsid w:val="1F1C29EF"/>
    <w:rsid w:val="1F234826"/>
    <w:rsid w:val="1F31645A"/>
    <w:rsid w:val="1F331E38"/>
    <w:rsid w:val="1F3E4D51"/>
    <w:rsid w:val="1F4773C4"/>
    <w:rsid w:val="1F4B1056"/>
    <w:rsid w:val="1F4C5C8A"/>
    <w:rsid w:val="1F517BAC"/>
    <w:rsid w:val="1F5E0D38"/>
    <w:rsid w:val="1F5F4414"/>
    <w:rsid w:val="1F637F58"/>
    <w:rsid w:val="1F826970"/>
    <w:rsid w:val="1F8B1C0F"/>
    <w:rsid w:val="1F972A67"/>
    <w:rsid w:val="1FA317AB"/>
    <w:rsid w:val="1FA415FD"/>
    <w:rsid w:val="1FA60478"/>
    <w:rsid w:val="1FA83BDA"/>
    <w:rsid w:val="1FA9286D"/>
    <w:rsid w:val="1FB66D49"/>
    <w:rsid w:val="1FCB673D"/>
    <w:rsid w:val="1FEE648E"/>
    <w:rsid w:val="1FF433BA"/>
    <w:rsid w:val="1FF9202F"/>
    <w:rsid w:val="20003026"/>
    <w:rsid w:val="200F3B23"/>
    <w:rsid w:val="201967D7"/>
    <w:rsid w:val="20374786"/>
    <w:rsid w:val="2039386F"/>
    <w:rsid w:val="20436342"/>
    <w:rsid w:val="20601C10"/>
    <w:rsid w:val="2068761A"/>
    <w:rsid w:val="206B5E9E"/>
    <w:rsid w:val="20757C7B"/>
    <w:rsid w:val="207E789F"/>
    <w:rsid w:val="20907BA5"/>
    <w:rsid w:val="20A13861"/>
    <w:rsid w:val="20BB0C31"/>
    <w:rsid w:val="20C66D8E"/>
    <w:rsid w:val="20CF37FC"/>
    <w:rsid w:val="20D717F3"/>
    <w:rsid w:val="20E02D05"/>
    <w:rsid w:val="20E32FBE"/>
    <w:rsid w:val="20F01565"/>
    <w:rsid w:val="20F12135"/>
    <w:rsid w:val="20F90AAC"/>
    <w:rsid w:val="20FA405B"/>
    <w:rsid w:val="2123751D"/>
    <w:rsid w:val="212729AC"/>
    <w:rsid w:val="212B616E"/>
    <w:rsid w:val="213121BA"/>
    <w:rsid w:val="214A2960"/>
    <w:rsid w:val="214E6349"/>
    <w:rsid w:val="215302B9"/>
    <w:rsid w:val="2155157C"/>
    <w:rsid w:val="215670DE"/>
    <w:rsid w:val="215A0945"/>
    <w:rsid w:val="2183462B"/>
    <w:rsid w:val="218E4A09"/>
    <w:rsid w:val="218E6399"/>
    <w:rsid w:val="219C6DDD"/>
    <w:rsid w:val="21B31BFA"/>
    <w:rsid w:val="21B97C7E"/>
    <w:rsid w:val="21DF3292"/>
    <w:rsid w:val="21DF71DE"/>
    <w:rsid w:val="22111157"/>
    <w:rsid w:val="22257114"/>
    <w:rsid w:val="2229623B"/>
    <w:rsid w:val="22332CD0"/>
    <w:rsid w:val="22477192"/>
    <w:rsid w:val="224C2951"/>
    <w:rsid w:val="224C75BD"/>
    <w:rsid w:val="22771E18"/>
    <w:rsid w:val="227A54E3"/>
    <w:rsid w:val="22865CFC"/>
    <w:rsid w:val="22BD3256"/>
    <w:rsid w:val="22BD4E7D"/>
    <w:rsid w:val="22C96B90"/>
    <w:rsid w:val="22D07449"/>
    <w:rsid w:val="22DB314E"/>
    <w:rsid w:val="22E05EAE"/>
    <w:rsid w:val="22E40F3D"/>
    <w:rsid w:val="22EC743F"/>
    <w:rsid w:val="22FF02BC"/>
    <w:rsid w:val="230B248C"/>
    <w:rsid w:val="23133308"/>
    <w:rsid w:val="231847B8"/>
    <w:rsid w:val="231E3ED2"/>
    <w:rsid w:val="23304ABE"/>
    <w:rsid w:val="234421C7"/>
    <w:rsid w:val="234D61BE"/>
    <w:rsid w:val="23537C14"/>
    <w:rsid w:val="2357065A"/>
    <w:rsid w:val="2359486E"/>
    <w:rsid w:val="2362645B"/>
    <w:rsid w:val="23700EEA"/>
    <w:rsid w:val="237B7CDD"/>
    <w:rsid w:val="238C42D2"/>
    <w:rsid w:val="23926459"/>
    <w:rsid w:val="2393048F"/>
    <w:rsid w:val="239E3C8F"/>
    <w:rsid w:val="23A06B4E"/>
    <w:rsid w:val="23A40CCF"/>
    <w:rsid w:val="23BD3DB8"/>
    <w:rsid w:val="23F61F1B"/>
    <w:rsid w:val="23FA1D01"/>
    <w:rsid w:val="2404601A"/>
    <w:rsid w:val="24214B16"/>
    <w:rsid w:val="242404CF"/>
    <w:rsid w:val="242713BB"/>
    <w:rsid w:val="24351B4F"/>
    <w:rsid w:val="243647BB"/>
    <w:rsid w:val="244F716C"/>
    <w:rsid w:val="24501237"/>
    <w:rsid w:val="24576A62"/>
    <w:rsid w:val="245E385D"/>
    <w:rsid w:val="246E76BE"/>
    <w:rsid w:val="24725231"/>
    <w:rsid w:val="24762507"/>
    <w:rsid w:val="248219BA"/>
    <w:rsid w:val="24863B93"/>
    <w:rsid w:val="248A0B9C"/>
    <w:rsid w:val="24975612"/>
    <w:rsid w:val="249E3719"/>
    <w:rsid w:val="24A2659E"/>
    <w:rsid w:val="24B3373A"/>
    <w:rsid w:val="24B346B5"/>
    <w:rsid w:val="24B606B7"/>
    <w:rsid w:val="24D92A69"/>
    <w:rsid w:val="24EC3BCA"/>
    <w:rsid w:val="24EC4ADF"/>
    <w:rsid w:val="24EF6448"/>
    <w:rsid w:val="24F71B8F"/>
    <w:rsid w:val="24F92CDE"/>
    <w:rsid w:val="2509234F"/>
    <w:rsid w:val="250C0B5D"/>
    <w:rsid w:val="25130959"/>
    <w:rsid w:val="25252C8E"/>
    <w:rsid w:val="25335BFF"/>
    <w:rsid w:val="25353A77"/>
    <w:rsid w:val="253D4E51"/>
    <w:rsid w:val="25462DA6"/>
    <w:rsid w:val="25482946"/>
    <w:rsid w:val="25893EFE"/>
    <w:rsid w:val="258A1AB3"/>
    <w:rsid w:val="25B35E6A"/>
    <w:rsid w:val="25BB0481"/>
    <w:rsid w:val="25BE6749"/>
    <w:rsid w:val="25CF10FC"/>
    <w:rsid w:val="25DE0185"/>
    <w:rsid w:val="25E04003"/>
    <w:rsid w:val="25EB6DBF"/>
    <w:rsid w:val="25EE4F04"/>
    <w:rsid w:val="25EE6875"/>
    <w:rsid w:val="26056FD7"/>
    <w:rsid w:val="260C334C"/>
    <w:rsid w:val="26164A17"/>
    <w:rsid w:val="26276BC7"/>
    <w:rsid w:val="262A76BD"/>
    <w:rsid w:val="263262EE"/>
    <w:rsid w:val="26412189"/>
    <w:rsid w:val="264938E7"/>
    <w:rsid w:val="26517452"/>
    <w:rsid w:val="26566E1C"/>
    <w:rsid w:val="265956E8"/>
    <w:rsid w:val="266013CD"/>
    <w:rsid w:val="2679079E"/>
    <w:rsid w:val="26805F58"/>
    <w:rsid w:val="268120E0"/>
    <w:rsid w:val="268B4EFD"/>
    <w:rsid w:val="26966C1B"/>
    <w:rsid w:val="269C0839"/>
    <w:rsid w:val="26A10A64"/>
    <w:rsid w:val="26A24282"/>
    <w:rsid w:val="26BB6790"/>
    <w:rsid w:val="26BF3C79"/>
    <w:rsid w:val="26C4287D"/>
    <w:rsid w:val="26C84C3F"/>
    <w:rsid w:val="26CA39FA"/>
    <w:rsid w:val="26D85E33"/>
    <w:rsid w:val="26DB2072"/>
    <w:rsid w:val="270B4A30"/>
    <w:rsid w:val="270F1235"/>
    <w:rsid w:val="27154206"/>
    <w:rsid w:val="27171830"/>
    <w:rsid w:val="271D238B"/>
    <w:rsid w:val="272A62FD"/>
    <w:rsid w:val="273460AC"/>
    <w:rsid w:val="2737495D"/>
    <w:rsid w:val="27456A02"/>
    <w:rsid w:val="274E64D1"/>
    <w:rsid w:val="274E6AA9"/>
    <w:rsid w:val="276205CD"/>
    <w:rsid w:val="277C6B33"/>
    <w:rsid w:val="27862FAB"/>
    <w:rsid w:val="278F67DD"/>
    <w:rsid w:val="279137A0"/>
    <w:rsid w:val="27B31F91"/>
    <w:rsid w:val="27B33E3F"/>
    <w:rsid w:val="27B778B7"/>
    <w:rsid w:val="27BF0D59"/>
    <w:rsid w:val="27CE4805"/>
    <w:rsid w:val="27D831E9"/>
    <w:rsid w:val="27DC01C9"/>
    <w:rsid w:val="27DF64F1"/>
    <w:rsid w:val="27E53287"/>
    <w:rsid w:val="27E8590F"/>
    <w:rsid w:val="27EA6D62"/>
    <w:rsid w:val="280A737B"/>
    <w:rsid w:val="28151DED"/>
    <w:rsid w:val="28300784"/>
    <w:rsid w:val="28316877"/>
    <w:rsid w:val="283A348C"/>
    <w:rsid w:val="283F2A39"/>
    <w:rsid w:val="28630E79"/>
    <w:rsid w:val="28660101"/>
    <w:rsid w:val="286E6DB7"/>
    <w:rsid w:val="289E6725"/>
    <w:rsid w:val="28BC39FA"/>
    <w:rsid w:val="28C01B18"/>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38BD"/>
    <w:rsid w:val="299E7A8C"/>
    <w:rsid w:val="29BF36D6"/>
    <w:rsid w:val="29C52E87"/>
    <w:rsid w:val="29D9317B"/>
    <w:rsid w:val="29EC161D"/>
    <w:rsid w:val="29F04EAF"/>
    <w:rsid w:val="29F116D0"/>
    <w:rsid w:val="29F2638F"/>
    <w:rsid w:val="2A0125EB"/>
    <w:rsid w:val="2A0241CA"/>
    <w:rsid w:val="2A0777DB"/>
    <w:rsid w:val="2A1074D9"/>
    <w:rsid w:val="2A136762"/>
    <w:rsid w:val="2A153074"/>
    <w:rsid w:val="2A16459C"/>
    <w:rsid w:val="2A1E7E82"/>
    <w:rsid w:val="2A7D5C08"/>
    <w:rsid w:val="2A826CAC"/>
    <w:rsid w:val="2A832C81"/>
    <w:rsid w:val="2A837A08"/>
    <w:rsid w:val="2A865621"/>
    <w:rsid w:val="2A90033E"/>
    <w:rsid w:val="2AA47786"/>
    <w:rsid w:val="2AA7735C"/>
    <w:rsid w:val="2AAA19F3"/>
    <w:rsid w:val="2AAD65EE"/>
    <w:rsid w:val="2AB23403"/>
    <w:rsid w:val="2AC37547"/>
    <w:rsid w:val="2AC77380"/>
    <w:rsid w:val="2ACE32F5"/>
    <w:rsid w:val="2ADD6AFD"/>
    <w:rsid w:val="2ADE6550"/>
    <w:rsid w:val="2AE0413B"/>
    <w:rsid w:val="2AEA0CBC"/>
    <w:rsid w:val="2AF134CE"/>
    <w:rsid w:val="2AF71CEB"/>
    <w:rsid w:val="2AFE0D9C"/>
    <w:rsid w:val="2B2E0309"/>
    <w:rsid w:val="2B422946"/>
    <w:rsid w:val="2B54055B"/>
    <w:rsid w:val="2B5B34DC"/>
    <w:rsid w:val="2B6D12EE"/>
    <w:rsid w:val="2B76579E"/>
    <w:rsid w:val="2B793021"/>
    <w:rsid w:val="2B7973CB"/>
    <w:rsid w:val="2B831E93"/>
    <w:rsid w:val="2B852EE0"/>
    <w:rsid w:val="2B885C3B"/>
    <w:rsid w:val="2B964DED"/>
    <w:rsid w:val="2B9B3546"/>
    <w:rsid w:val="2BA57D96"/>
    <w:rsid w:val="2BAE29A1"/>
    <w:rsid w:val="2BBA1460"/>
    <w:rsid w:val="2BBE438D"/>
    <w:rsid w:val="2BD315B0"/>
    <w:rsid w:val="2BE373EE"/>
    <w:rsid w:val="2BFC3156"/>
    <w:rsid w:val="2C0A73E9"/>
    <w:rsid w:val="2C295EB9"/>
    <w:rsid w:val="2C35729B"/>
    <w:rsid w:val="2C367CB2"/>
    <w:rsid w:val="2C4628DA"/>
    <w:rsid w:val="2C555D92"/>
    <w:rsid w:val="2C575DDE"/>
    <w:rsid w:val="2C622710"/>
    <w:rsid w:val="2C734CA0"/>
    <w:rsid w:val="2C7A1A31"/>
    <w:rsid w:val="2C7C7D79"/>
    <w:rsid w:val="2C83115A"/>
    <w:rsid w:val="2C8B517A"/>
    <w:rsid w:val="2C9466E2"/>
    <w:rsid w:val="2C9E7CD8"/>
    <w:rsid w:val="2CA75A74"/>
    <w:rsid w:val="2CAF6B04"/>
    <w:rsid w:val="2CB0279E"/>
    <w:rsid w:val="2CD12AE5"/>
    <w:rsid w:val="2D1352C4"/>
    <w:rsid w:val="2D1E41EB"/>
    <w:rsid w:val="2D267C9A"/>
    <w:rsid w:val="2D310CA2"/>
    <w:rsid w:val="2D373D61"/>
    <w:rsid w:val="2D3A323B"/>
    <w:rsid w:val="2D4B55E5"/>
    <w:rsid w:val="2D4C0E6E"/>
    <w:rsid w:val="2D53589F"/>
    <w:rsid w:val="2D5E4035"/>
    <w:rsid w:val="2D640CC5"/>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2B63FE"/>
    <w:rsid w:val="2E2E16A7"/>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70752"/>
    <w:rsid w:val="2EEB0155"/>
    <w:rsid w:val="2EFA0186"/>
    <w:rsid w:val="2F0236C3"/>
    <w:rsid w:val="2F082BB8"/>
    <w:rsid w:val="2F0A286A"/>
    <w:rsid w:val="2F0C2ED0"/>
    <w:rsid w:val="2F0F048D"/>
    <w:rsid w:val="2F140F9B"/>
    <w:rsid w:val="2F2B5ABF"/>
    <w:rsid w:val="2F2E604D"/>
    <w:rsid w:val="2F345DAF"/>
    <w:rsid w:val="2F417886"/>
    <w:rsid w:val="2F5D2DA3"/>
    <w:rsid w:val="2F675A9B"/>
    <w:rsid w:val="2F882E85"/>
    <w:rsid w:val="2F9A7F4A"/>
    <w:rsid w:val="2FB63290"/>
    <w:rsid w:val="2FC733B8"/>
    <w:rsid w:val="2FCA4F20"/>
    <w:rsid w:val="300C4C70"/>
    <w:rsid w:val="30291A13"/>
    <w:rsid w:val="303371BB"/>
    <w:rsid w:val="3044399D"/>
    <w:rsid w:val="30487E8C"/>
    <w:rsid w:val="305868C6"/>
    <w:rsid w:val="305B1097"/>
    <w:rsid w:val="306445C1"/>
    <w:rsid w:val="30695E81"/>
    <w:rsid w:val="306F3DBA"/>
    <w:rsid w:val="307F14D6"/>
    <w:rsid w:val="308640A9"/>
    <w:rsid w:val="30896C6B"/>
    <w:rsid w:val="309E4CFC"/>
    <w:rsid w:val="30C61AC5"/>
    <w:rsid w:val="30D0377D"/>
    <w:rsid w:val="30D1717F"/>
    <w:rsid w:val="30D2261F"/>
    <w:rsid w:val="30DE0226"/>
    <w:rsid w:val="30F50A2A"/>
    <w:rsid w:val="31007D5E"/>
    <w:rsid w:val="310427FF"/>
    <w:rsid w:val="31115223"/>
    <w:rsid w:val="3112044C"/>
    <w:rsid w:val="312440E9"/>
    <w:rsid w:val="31263645"/>
    <w:rsid w:val="312772AE"/>
    <w:rsid w:val="312F0667"/>
    <w:rsid w:val="31442CD4"/>
    <w:rsid w:val="31445B9B"/>
    <w:rsid w:val="314A653C"/>
    <w:rsid w:val="314C64DA"/>
    <w:rsid w:val="316B13D5"/>
    <w:rsid w:val="31720F1D"/>
    <w:rsid w:val="31745B98"/>
    <w:rsid w:val="317A7F18"/>
    <w:rsid w:val="317E525C"/>
    <w:rsid w:val="31837E97"/>
    <w:rsid w:val="319951C3"/>
    <w:rsid w:val="31B347D1"/>
    <w:rsid w:val="31BF03E5"/>
    <w:rsid w:val="31C0462A"/>
    <w:rsid w:val="31CB03B0"/>
    <w:rsid w:val="31CE29FE"/>
    <w:rsid w:val="31E4153A"/>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A4B0B"/>
    <w:rsid w:val="329119F4"/>
    <w:rsid w:val="32B13765"/>
    <w:rsid w:val="32CA65F9"/>
    <w:rsid w:val="32D942C8"/>
    <w:rsid w:val="33054854"/>
    <w:rsid w:val="33064DC6"/>
    <w:rsid w:val="330844B4"/>
    <w:rsid w:val="330A16FB"/>
    <w:rsid w:val="33141FF7"/>
    <w:rsid w:val="331B0364"/>
    <w:rsid w:val="333B776E"/>
    <w:rsid w:val="333E0092"/>
    <w:rsid w:val="33482976"/>
    <w:rsid w:val="33506C9F"/>
    <w:rsid w:val="3360334C"/>
    <w:rsid w:val="33742E43"/>
    <w:rsid w:val="33775E05"/>
    <w:rsid w:val="337A0512"/>
    <w:rsid w:val="338574F9"/>
    <w:rsid w:val="338F55A8"/>
    <w:rsid w:val="33A078AB"/>
    <w:rsid w:val="33A222F8"/>
    <w:rsid w:val="33B145B5"/>
    <w:rsid w:val="33B26AB4"/>
    <w:rsid w:val="33B85C62"/>
    <w:rsid w:val="33B90357"/>
    <w:rsid w:val="33C3614F"/>
    <w:rsid w:val="33D62B96"/>
    <w:rsid w:val="33E32DB1"/>
    <w:rsid w:val="33F14691"/>
    <w:rsid w:val="33FF7460"/>
    <w:rsid w:val="342C53D2"/>
    <w:rsid w:val="342E023B"/>
    <w:rsid w:val="344127C5"/>
    <w:rsid w:val="34423581"/>
    <w:rsid w:val="34526E6E"/>
    <w:rsid w:val="34563647"/>
    <w:rsid w:val="345B1895"/>
    <w:rsid w:val="3463085A"/>
    <w:rsid w:val="3485590E"/>
    <w:rsid w:val="348744C2"/>
    <w:rsid w:val="3494430D"/>
    <w:rsid w:val="34946C2E"/>
    <w:rsid w:val="34A24AD6"/>
    <w:rsid w:val="34BA1AF2"/>
    <w:rsid w:val="34BA788F"/>
    <w:rsid w:val="34C04708"/>
    <w:rsid w:val="34C967AE"/>
    <w:rsid w:val="34D46D17"/>
    <w:rsid w:val="34FB2B80"/>
    <w:rsid w:val="34FD5844"/>
    <w:rsid w:val="35202182"/>
    <w:rsid w:val="35280DED"/>
    <w:rsid w:val="35463167"/>
    <w:rsid w:val="35665ADB"/>
    <w:rsid w:val="35770BA6"/>
    <w:rsid w:val="35816EB9"/>
    <w:rsid w:val="35821E3D"/>
    <w:rsid w:val="359F5261"/>
    <w:rsid w:val="35B06EC9"/>
    <w:rsid w:val="35B35F81"/>
    <w:rsid w:val="35C2434B"/>
    <w:rsid w:val="35CA5DCC"/>
    <w:rsid w:val="35F41A2F"/>
    <w:rsid w:val="35F421D8"/>
    <w:rsid w:val="35FE7215"/>
    <w:rsid w:val="35FF2DF2"/>
    <w:rsid w:val="36000F59"/>
    <w:rsid w:val="3600703E"/>
    <w:rsid w:val="360A28F0"/>
    <w:rsid w:val="360A456E"/>
    <w:rsid w:val="360B232F"/>
    <w:rsid w:val="361D59BA"/>
    <w:rsid w:val="36247CCA"/>
    <w:rsid w:val="36280FB0"/>
    <w:rsid w:val="36400759"/>
    <w:rsid w:val="364225B8"/>
    <w:rsid w:val="364B4F18"/>
    <w:rsid w:val="364E6ED2"/>
    <w:rsid w:val="36520E31"/>
    <w:rsid w:val="36544E83"/>
    <w:rsid w:val="36601F32"/>
    <w:rsid w:val="366623CD"/>
    <w:rsid w:val="367B06EC"/>
    <w:rsid w:val="368400A0"/>
    <w:rsid w:val="368B76C7"/>
    <w:rsid w:val="36A57135"/>
    <w:rsid w:val="36AF0D32"/>
    <w:rsid w:val="36B72AD3"/>
    <w:rsid w:val="36C5766F"/>
    <w:rsid w:val="36CC1D0A"/>
    <w:rsid w:val="36D41560"/>
    <w:rsid w:val="36D704F3"/>
    <w:rsid w:val="36E44BB3"/>
    <w:rsid w:val="36E90250"/>
    <w:rsid w:val="36ED465C"/>
    <w:rsid w:val="36F13515"/>
    <w:rsid w:val="370058B6"/>
    <w:rsid w:val="37066B46"/>
    <w:rsid w:val="37131885"/>
    <w:rsid w:val="37146912"/>
    <w:rsid w:val="372D3B8B"/>
    <w:rsid w:val="372E53E1"/>
    <w:rsid w:val="374604DA"/>
    <w:rsid w:val="37556EFB"/>
    <w:rsid w:val="37634C0D"/>
    <w:rsid w:val="37635AA2"/>
    <w:rsid w:val="376D038A"/>
    <w:rsid w:val="378D4EC4"/>
    <w:rsid w:val="379127D4"/>
    <w:rsid w:val="3794359E"/>
    <w:rsid w:val="3795413E"/>
    <w:rsid w:val="37B01FC8"/>
    <w:rsid w:val="37BE275C"/>
    <w:rsid w:val="37CC087E"/>
    <w:rsid w:val="37F7211A"/>
    <w:rsid w:val="37FB3BA9"/>
    <w:rsid w:val="37FD2BB1"/>
    <w:rsid w:val="37FE1821"/>
    <w:rsid w:val="38115BCA"/>
    <w:rsid w:val="381D63E4"/>
    <w:rsid w:val="383C048E"/>
    <w:rsid w:val="38454C9B"/>
    <w:rsid w:val="38521CF7"/>
    <w:rsid w:val="385A5B31"/>
    <w:rsid w:val="385A68D2"/>
    <w:rsid w:val="388116C0"/>
    <w:rsid w:val="388C714F"/>
    <w:rsid w:val="38946C1E"/>
    <w:rsid w:val="38966DB9"/>
    <w:rsid w:val="38B20894"/>
    <w:rsid w:val="38C2768F"/>
    <w:rsid w:val="38C64558"/>
    <w:rsid w:val="38E37461"/>
    <w:rsid w:val="38F418EC"/>
    <w:rsid w:val="38F924B1"/>
    <w:rsid w:val="39105A0A"/>
    <w:rsid w:val="39191093"/>
    <w:rsid w:val="391B76F1"/>
    <w:rsid w:val="391E2CD2"/>
    <w:rsid w:val="392245B5"/>
    <w:rsid w:val="39235BBC"/>
    <w:rsid w:val="393D721A"/>
    <w:rsid w:val="393F0F59"/>
    <w:rsid w:val="394A6B61"/>
    <w:rsid w:val="394F360B"/>
    <w:rsid w:val="39511E95"/>
    <w:rsid w:val="395F65F0"/>
    <w:rsid w:val="39825EF1"/>
    <w:rsid w:val="398636A1"/>
    <w:rsid w:val="398642C1"/>
    <w:rsid w:val="39897949"/>
    <w:rsid w:val="398D1EFD"/>
    <w:rsid w:val="398D694C"/>
    <w:rsid w:val="398D7945"/>
    <w:rsid w:val="399D7118"/>
    <w:rsid w:val="39BC5220"/>
    <w:rsid w:val="39D879D3"/>
    <w:rsid w:val="39DA1EF5"/>
    <w:rsid w:val="39DB3A6E"/>
    <w:rsid w:val="39E245E4"/>
    <w:rsid w:val="39E84CC6"/>
    <w:rsid w:val="39FC179E"/>
    <w:rsid w:val="3A014E17"/>
    <w:rsid w:val="3A066018"/>
    <w:rsid w:val="3A210C10"/>
    <w:rsid w:val="3A214CC6"/>
    <w:rsid w:val="3A27547C"/>
    <w:rsid w:val="3A3871E3"/>
    <w:rsid w:val="3A3C3C45"/>
    <w:rsid w:val="3A641609"/>
    <w:rsid w:val="3A663EB0"/>
    <w:rsid w:val="3A87071A"/>
    <w:rsid w:val="3A9B7C92"/>
    <w:rsid w:val="3AAC76F2"/>
    <w:rsid w:val="3AAD5CAC"/>
    <w:rsid w:val="3AAF045C"/>
    <w:rsid w:val="3AC53317"/>
    <w:rsid w:val="3AD8079E"/>
    <w:rsid w:val="3AF05E33"/>
    <w:rsid w:val="3AF1344F"/>
    <w:rsid w:val="3B1C5B19"/>
    <w:rsid w:val="3B2301BB"/>
    <w:rsid w:val="3B294F65"/>
    <w:rsid w:val="3B303144"/>
    <w:rsid w:val="3B362C4D"/>
    <w:rsid w:val="3B4D5E29"/>
    <w:rsid w:val="3B596EC3"/>
    <w:rsid w:val="3B8631C4"/>
    <w:rsid w:val="3B8A1A7E"/>
    <w:rsid w:val="3B937719"/>
    <w:rsid w:val="3B942B73"/>
    <w:rsid w:val="3B9674D7"/>
    <w:rsid w:val="3BA20424"/>
    <w:rsid w:val="3BB335AC"/>
    <w:rsid w:val="3BC165FE"/>
    <w:rsid w:val="3BD3067E"/>
    <w:rsid w:val="3BD53AB5"/>
    <w:rsid w:val="3BDF0A62"/>
    <w:rsid w:val="3BEF40B2"/>
    <w:rsid w:val="3BF363D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175178"/>
    <w:rsid w:val="3D277613"/>
    <w:rsid w:val="3D2F2FAD"/>
    <w:rsid w:val="3D3C5369"/>
    <w:rsid w:val="3D4E395C"/>
    <w:rsid w:val="3D66205D"/>
    <w:rsid w:val="3D6D5EA9"/>
    <w:rsid w:val="3D7004A1"/>
    <w:rsid w:val="3D7849C8"/>
    <w:rsid w:val="3D79071F"/>
    <w:rsid w:val="3DA54021"/>
    <w:rsid w:val="3DC60482"/>
    <w:rsid w:val="3DD171A7"/>
    <w:rsid w:val="3DDC1724"/>
    <w:rsid w:val="3DEC1B94"/>
    <w:rsid w:val="3E127B19"/>
    <w:rsid w:val="3E1A30A6"/>
    <w:rsid w:val="3E2653DC"/>
    <w:rsid w:val="3E2B50D7"/>
    <w:rsid w:val="3E327F30"/>
    <w:rsid w:val="3E3758F3"/>
    <w:rsid w:val="3E41291F"/>
    <w:rsid w:val="3E4754A6"/>
    <w:rsid w:val="3E6926D3"/>
    <w:rsid w:val="3E786B14"/>
    <w:rsid w:val="3E860F10"/>
    <w:rsid w:val="3E913ADC"/>
    <w:rsid w:val="3E922B85"/>
    <w:rsid w:val="3E922D59"/>
    <w:rsid w:val="3E9A15EB"/>
    <w:rsid w:val="3EA3700C"/>
    <w:rsid w:val="3EA411EE"/>
    <w:rsid w:val="3EA452C3"/>
    <w:rsid w:val="3EAD2C67"/>
    <w:rsid w:val="3EB02205"/>
    <w:rsid w:val="3EB47903"/>
    <w:rsid w:val="3ED219A5"/>
    <w:rsid w:val="3ED7637C"/>
    <w:rsid w:val="3EDA3A1A"/>
    <w:rsid w:val="3EDF0CF3"/>
    <w:rsid w:val="3EE8557E"/>
    <w:rsid w:val="3EED740D"/>
    <w:rsid w:val="3EF24824"/>
    <w:rsid w:val="3F1630F2"/>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AA401E"/>
    <w:rsid w:val="3FB1447F"/>
    <w:rsid w:val="3FC35AFC"/>
    <w:rsid w:val="3FC41983"/>
    <w:rsid w:val="3FD1414D"/>
    <w:rsid w:val="3FD700C5"/>
    <w:rsid w:val="3FD81218"/>
    <w:rsid w:val="3FDF4343"/>
    <w:rsid w:val="3FE0724A"/>
    <w:rsid w:val="3FF35E75"/>
    <w:rsid w:val="3FF5402E"/>
    <w:rsid w:val="400406D1"/>
    <w:rsid w:val="400479C3"/>
    <w:rsid w:val="40291A02"/>
    <w:rsid w:val="40404B79"/>
    <w:rsid w:val="404358BE"/>
    <w:rsid w:val="40504A5A"/>
    <w:rsid w:val="40797278"/>
    <w:rsid w:val="408E3720"/>
    <w:rsid w:val="40912007"/>
    <w:rsid w:val="409672FB"/>
    <w:rsid w:val="409B357D"/>
    <w:rsid w:val="409F5F96"/>
    <w:rsid w:val="40B43BF9"/>
    <w:rsid w:val="40BC2DF7"/>
    <w:rsid w:val="40CE14CF"/>
    <w:rsid w:val="40CF6877"/>
    <w:rsid w:val="40D814C3"/>
    <w:rsid w:val="40E17710"/>
    <w:rsid w:val="40E86C9E"/>
    <w:rsid w:val="40F347AB"/>
    <w:rsid w:val="40F83F72"/>
    <w:rsid w:val="411713CA"/>
    <w:rsid w:val="411A6663"/>
    <w:rsid w:val="412D5086"/>
    <w:rsid w:val="41411F23"/>
    <w:rsid w:val="41490BDC"/>
    <w:rsid w:val="414B2D54"/>
    <w:rsid w:val="416E59E3"/>
    <w:rsid w:val="417C4EC1"/>
    <w:rsid w:val="41904377"/>
    <w:rsid w:val="41A664B7"/>
    <w:rsid w:val="41B601E7"/>
    <w:rsid w:val="41CF3C25"/>
    <w:rsid w:val="41DF5CBF"/>
    <w:rsid w:val="41E14722"/>
    <w:rsid w:val="41E83086"/>
    <w:rsid w:val="41EB174A"/>
    <w:rsid w:val="42170741"/>
    <w:rsid w:val="42177507"/>
    <w:rsid w:val="42204CE4"/>
    <w:rsid w:val="42226713"/>
    <w:rsid w:val="422B2BA1"/>
    <w:rsid w:val="4231785A"/>
    <w:rsid w:val="4235332E"/>
    <w:rsid w:val="42584818"/>
    <w:rsid w:val="425D1AEE"/>
    <w:rsid w:val="427E48C1"/>
    <w:rsid w:val="42926048"/>
    <w:rsid w:val="429819E4"/>
    <w:rsid w:val="429B6E22"/>
    <w:rsid w:val="429C6B61"/>
    <w:rsid w:val="42B34A1F"/>
    <w:rsid w:val="42B86E9B"/>
    <w:rsid w:val="42BD444E"/>
    <w:rsid w:val="42BF4C55"/>
    <w:rsid w:val="42C03D90"/>
    <w:rsid w:val="42C845D8"/>
    <w:rsid w:val="42DC40D1"/>
    <w:rsid w:val="42F91034"/>
    <w:rsid w:val="43262E27"/>
    <w:rsid w:val="432A3936"/>
    <w:rsid w:val="434841F7"/>
    <w:rsid w:val="434D6B99"/>
    <w:rsid w:val="43524A05"/>
    <w:rsid w:val="437F792B"/>
    <w:rsid w:val="43871CB4"/>
    <w:rsid w:val="43A63D98"/>
    <w:rsid w:val="43AB188A"/>
    <w:rsid w:val="43B04917"/>
    <w:rsid w:val="43BE214E"/>
    <w:rsid w:val="43E92A8F"/>
    <w:rsid w:val="43ED298C"/>
    <w:rsid w:val="43EF2991"/>
    <w:rsid w:val="43F4696E"/>
    <w:rsid w:val="44165D6C"/>
    <w:rsid w:val="44261423"/>
    <w:rsid w:val="442D4378"/>
    <w:rsid w:val="443B708A"/>
    <w:rsid w:val="445141B4"/>
    <w:rsid w:val="4455118A"/>
    <w:rsid w:val="44597BEE"/>
    <w:rsid w:val="447A4753"/>
    <w:rsid w:val="44A70E24"/>
    <w:rsid w:val="44CD05ED"/>
    <w:rsid w:val="44DD300E"/>
    <w:rsid w:val="44E2656D"/>
    <w:rsid w:val="44EC169C"/>
    <w:rsid w:val="44F11452"/>
    <w:rsid w:val="44FF451E"/>
    <w:rsid w:val="45177BA4"/>
    <w:rsid w:val="451C551F"/>
    <w:rsid w:val="451F3CCA"/>
    <w:rsid w:val="45341196"/>
    <w:rsid w:val="45492E86"/>
    <w:rsid w:val="45493A4F"/>
    <w:rsid w:val="454E4188"/>
    <w:rsid w:val="45553167"/>
    <w:rsid w:val="455B7427"/>
    <w:rsid w:val="45727755"/>
    <w:rsid w:val="45965757"/>
    <w:rsid w:val="45976268"/>
    <w:rsid w:val="45BA5028"/>
    <w:rsid w:val="45BB0276"/>
    <w:rsid w:val="45CA6C10"/>
    <w:rsid w:val="45CE5804"/>
    <w:rsid w:val="45D01294"/>
    <w:rsid w:val="45DA4126"/>
    <w:rsid w:val="45DC1DF8"/>
    <w:rsid w:val="45E03532"/>
    <w:rsid w:val="45FB48CF"/>
    <w:rsid w:val="460974BC"/>
    <w:rsid w:val="46246925"/>
    <w:rsid w:val="462B5D44"/>
    <w:rsid w:val="462D5957"/>
    <w:rsid w:val="462E6F30"/>
    <w:rsid w:val="463354F6"/>
    <w:rsid w:val="463546D0"/>
    <w:rsid w:val="465346A2"/>
    <w:rsid w:val="46586687"/>
    <w:rsid w:val="466309D9"/>
    <w:rsid w:val="466A2150"/>
    <w:rsid w:val="466D3B0A"/>
    <w:rsid w:val="466E793A"/>
    <w:rsid w:val="46844FFB"/>
    <w:rsid w:val="46864313"/>
    <w:rsid w:val="468C1039"/>
    <w:rsid w:val="468C15DE"/>
    <w:rsid w:val="468F344C"/>
    <w:rsid w:val="46CE17A4"/>
    <w:rsid w:val="46D81406"/>
    <w:rsid w:val="46D906C6"/>
    <w:rsid w:val="46EE3AEB"/>
    <w:rsid w:val="47050296"/>
    <w:rsid w:val="470A5361"/>
    <w:rsid w:val="47180E24"/>
    <w:rsid w:val="471866FB"/>
    <w:rsid w:val="471C076F"/>
    <w:rsid w:val="471C5343"/>
    <w:rsid w:val="472022E1"/>
    <w:rsid w:val="472406DF"/>
    <w:rsid w:val="472D3683"/>
    <w:rsid w:val="473B416A"/>
    <w:rsid w:val="473B7E9E"/>
    <w:rsid w:val="47403AF2"/>
    <w:rsid w:val="47453C8F"/>
    <w:rsid w:val="4748211F"/>
    <w:rsid w:val="475B3378"/>
    <w:rsid w:val="475C5C59"/>
    <w:rsid w:val="47632541"/>
    <w:rsid w:val="4766347D"/>
    <w:rsid w:val="47715F93"/>
    <w:rsid w:val="478D4609"/>
    <w:rsid w:val="478D6A12"/>
    <w:rsid w:val="47962309"/>
    <w:rsid w:val="479C610A"/>
    <w:rsid w:val="47A32AF0"/>
    <w:rsid w:val="47AF032C"/>
    <w:rsid w:val="47BA0CEF"/>
    <w:rsid w:val="47E24056"/>
    <w:rsid w:val="47EA4D37"/>
    <w:rsid w:val="47EC146A"/>
    <w:rsid w:val="47FF6106"/>
    <w:rsid w:val="48004D76"/>
    <w:rsid w:val="481D74A2"/>
    <w:rsid w:val="481E4667"/>
    <w:rsid w:val="4822672A"/>
    <w:rsid w:val="48334280"/>
    <w:rsid w:val="48382E4F"/>
    <w:rsid w:val="48386782"/>
    <w:rsid w:val="4839372F"/>
    <w:rsid w:val="48406A1E"/>
    <w:rsid w:val="48455013"/>
    <w:rsid w:val="484726A4"/>
    <w:rsid w:val="484B7369"/>
    <w:rsid w:val="487274B4"/>
    <w:rsid w:val="487C2EB0"/>
    <w:rsid w:val="487F714C"/>
    <w:rsid w:val="48811612"/>
    <w:rsid w:val="488818E0"/>
    <w:rsid w:val="48AE426D"/>
    <w:rsid w:val="48B45B37"/>
    <w:rsid w:val="48D97A24"/>
    <w:rsid w:val="48E06989"/>
    <w:rsid w:val="48E2763C"/>
    <w:rsid w:val="48E92C88"/>
    <w:rsid w:val="48EB1D85"/>
    <w:rsid w:val="48FC51E1"/>
    <w:rsid w:val="49282A41"/>
    <w:rsid w:val="494C141C"/>
    <w:rsid w:val="4954359E"/>
    <w:rsid w:val="49605AC3"/>
    <w:rsid w:val="49821D8D"/>
    <w:rsid w:val="4987544D"/>
    <w:rsid w:val="498C49B3"/>
    <w:rsid w:val="498D16DA"/>
    <w:rsid w:val="49995BD6"/>
    <w:rsid w:val="499A7FC9"/>
    <w:rsid w:val="49AE3D92"/>
    <w:rsid w:val="49BF2772"/>
    <w:rsid w:val="49C128B7"/>
    <w:rsid w:val="49C15E4E"/>
    <w:rsid w:val="49C47EBE"/>
    <w:rsid w:val="49C55CAD"/>
    <w:rsid w:val="49CA225D"/>
    <w:rsid w:val="49D270B8"/>
    <w:rsid w:val="4A1203E3"/>
    <w:rsid w:val="4A3509A5"/>
    <w:rsid w:val="4A3C31F7"/>
    <w:rsid w:val="4A3E054A"/>
    <w:rsid w:val="4A4A4E86"/>
    <w:rsid w:val="4A863FBD"/>
    <w:rsid w:val="4A8674C9"/>
    <w:rsid w:val="4A892CB4"/>
    <w:rsid w:val="4A9657FA"/>
    <w:rsid w:val="4AA27D8E"/>
    <w:rsid w:val="4AA927DF"/>
    <w:rsid w:val="4AB450E7"/>
    <w:rsid w:val="4ABD2CBE"/>
    <w:rsid w:val="4ACA49FA"/>
    <w:rsid w:val="4ACC15C6"/>
    <w:rsid w:val="4ACC17F6"/>
    <w:rsid w:val="4AE8469B"/>
    <w:rsid w:val="4AED30D2"/>
    <w:rsid w:val="4AF05435"/>
    <w:rsid w:val="4AFE1C1B"/>
    <w:rsid w:val="4B503DE9"/>
    <w:rsid w:val="4B592E57"/>
    <w:rsid w:val="4B5E33E5"/>
    <w:rsid w:val="4B731311"/>
    <w:rsid w:val="4B903AF5"/>
    <w:rsid w:val="4B9A2375"/>
    <w:rsid w:val="4BA754D9"/>
    <w:rsid w:val="4BAD17E4"/>
    <w:rsid w:val="4BAF7B70"/>
    <w:rsid w:val="4BFE77EE"/>
    <w:rsid w:val="4C0D0455"/>
    <w:rsid w:val="4C1F5374"/>
    <w:rsid w:val="4C1F7A5B"/>
    <w:rsid w:val="4C4048FC"/>
    <w:rsid w:val="4C6C640D"/>
    <w:rsid w:val="4C722515"/>
    <w:rsid w:val="4C894A92"/>
    <w:rsid w:val="4C983FA4"/>
    <w:rsid w:val="4C9A5F96"/>
    <w:rsid w:val="4C9B7DE3"/>
    <w:rsid w:val="4C9F7E3C"/>
    <w:rsid w:val="4CA178A3"/>
    <w:rsid w:val="4CA9023C"/>
    <w:rsid w:val="4CB144C1"/>
    <w:rsid w:val="4CB3138C"/>
    <w:rsid w:val="4CBE1543"/>
    <w:rsid w:val="4CBE4760"/>
    <w:rsid w:val="4CCC2062"/>
    <w:rsid w:val="4CF30464"/>
    <w:rsid w:val="4CF86DA4"/>
    <w:rsid w:val="4CFB2CB0"/>
    <w:rsid w:val="4D020DA5"/>
    <w:rsid w:val="4D0D52CB"/>
    <w:rsid w:val="4D225AB9"/>
    <w:rsid w:val="4D2E312B"/>
    <w:rsid w:val="4D32348A"/>
    <w:rsid w:val="4D3E0B9C"/>
    <w:rsid w:val="4D566C49"/>
    <w:rsid w:val="4D6037A5"/>
    <w:rsid w:val="4D6A24D3"/>
    <w:rsid w:val="4D6B6587"/>
    <w:rsid w:val="4D743AA4"/>
    <w:rsid w:val="4D834946"/>
    <w:rsid w:val="4D993267"/>
    <w:rsid w:val="4DA1355F"/>
    <w:rsid w:val="4DA537BB"/>
    <w:rsid w:val="4DA53A8B"/>
    <w:rsid w:val="4DA62BFC"/>
    <w:rsid w:val="4DBB336E"/>
    <w:rsid w:val="4DBE6815"/>
    <w:rsid w:val="4DC16978"/>
    <w:rsid w:val="4DD81F1E"/>
    <w:rsid w:val="4DD92250"/>
    <w:rsid w:val="4DF67531"/>
    <w:rsid w:val="4DF9062B"/>
    <w:rsid w:val="4E014EF8"/>
    <w:rsid w:val="4E066E93"/>
    <w:rsid w:val="4E075658"/>
    <w:rsid w:val="4E0D6F7B"/>
    <w:rsid w:val="4E1D7E77"/>
    <w:rsid w:val="4E2126E6"/>
    <w:rsid w:val="4E236A05"/>
    <w:rsid w:val="4E51451A"/>
    <w:rsid w:val="4E7D60BC"/>
    <w:rsid w:val="4E91581D"/>
    <w:rsid w:val="4EDE397C"/>
    <w:rsid w:val="4EF614BA"/>
    <w:rsid w:val="4EF62402"/>
    <w:rsid w:val="4F087D26"/>
    <w:rsid w:val="4F35630A"/>
    <w:rsid w:val="4F362E18"/>
    <w:rsid w:val="4F497B36"/>
    <w:rsid w:val="4F513B54"/>
    <w:rsid w:val="4F540B41"/>
    <w:rsid w:val="4F547EAA"/>
    <w:rsid w:val="4F5A6E3D"/>
    <w:rsid w:val="4F815846"/>
    <w:rsid w:val="4F832885"/>
    <w:rsid w:val="4F9039FE"/>
    <w:rsid w:val="4FAA20BA"/>
    <w:rsid w:val="4FB5670E"/>
    <w:rsid w:val="4FBC0BE9"/>
    <w:rsid w:val="4FBE2BCB"/>
    <w:rsid w:val="4FC328FD"/>
    <w:rsid w:val="4FE02223"/>
    <w:rsid w:val="50090B2C"/>
    <w:rsid w:val="500E6057"/>
    <w:rsid w:val="502072F3"/>
    <w:rsid w:val="50215022"/>
    <w:rsid w:val="5034536B"/>
    <w:rsid w:val="503D6956"/>
    <w:rsid w:val="50437224"/>
    <w:rsid w:val="50490678"/>
    <w:rsid w:val="505A512C"/>
    <w:rsid w:val="5071187C"/>
    <w:rsid w:val="5089260D"/>
    <w:rsid w:val="50895295"/>
    <w:rsid w:val="5098572F"/>
    <w:rsid w:val="509C5AFA"/>
    <w:rsid w:val="50A40755"/>
    <w:rsid w:val="50B906DF"/>
    <w:rsid w:val="50C7665C"/>
    <w:rsid w:val="50DD515E"/>
    <w:rsid w:val="50F018D3"/>
    <w:rsid w:val="50F47A17"/>
    <w:rsid w:val="51116C5C"/>
    <w:rsid w:val="511A6082"/>
    <w:rsid w:val="512A627B"/>
    <w:rsid w:val="51326B0B"/>
    <w:rsid w:val="51336612"/>
    <w:rsid w:val="513D38A6"/>
    <w:rsid w:val="51456AF4"/>
    <w:rsid w:val="515C1DCC"/>
    <w:rsid w:val="51657C34"/>
    <w:rsid w:val="51790E28"/>
    <w:rsid w:val="517C7028"/>
    <w:rsid w:val="519634A4"/>
    <w:rsid w:val="519B6609"/>
    <w:rsid w:val="519E5A25"/>
    <w:rsid w:val="51B858B2"/>
    <w:rsid w:val="51BE6CEC"/>
    <w:rsid w:val="51C26588"/>
    <w:rsid w:val="51CB734F"/>
    <w:rsid w:val="51D82383"/>
    <w:rsid w:val="51DE4114"/>
    <w:rsid w:val="51E31D3C"/>
    <w:rsid w:val="51F35F11"/>
    <w:rsid w:val="51F45C0D"/>
    <w:rsid w:val="51F45EC8"/>
    <w:rsid w:val="51FE2E2D"/>
    <w:rsid w:val="52021A82"/>
    <w:rsid w:val="520878FD"/>
    <w:rsid w:val="520A15B6"/>
    <w:rsid w:val="520B147C"/>
    <w:rsid w:val="520B6D49"/>
    <w:rsid w:val="520F2ED4"/>
    <w:rsid w:val="521402BD"/>
    <w:rsid w:val="522B39FB"/>
    <w:rsid w:val="522D5E42"/>
    <w:rsid w:val="52391E5F"/>
    <w:rsid w:val="52414E5C"/>
    <w:rsid w:val="52463FBA"/>
    <w:rsid w:val="524A5D65"/>
    <w:rsid w:val="524C1BBF"/>
    <w:rsid w:val="52547268"/>
    <w:rsid w:val="529526FC"/>
    <w:rsid w:val="529C45E9"/>
    <w:rsid w:val="52A17AC6"/>
    <w:rsid w:val="52C04D72"/>
    <w:rsid w:val="52CA35B0"/>
    <w:rsid w:val="52D27A41"/>
    <w:rsid w:val="52DC5FDB"/>
    <w:rsid w:val="52DD15C5"/>
    <w:rsid w:val="52EE7DBE"/>
    <w:rsid w:val="52F63B4F"/>
    <w:rsid w:val="53082F2C"/>
    <w:rsid w:val="530E35EF"/>
    <w:rsid w:val="53131C59"/>
    <w:rsid w:val="53286C71"/>
    <w:rsid w:val="53345BA9"/>
    <w:rsid w:val="53396085"/>
    <w:rsid w:val="534A7EEE"/>
    <w:rsid w:val="53670639"/>
    <w:rsid w:val="53686CBB"/>
    <w:rsid w:val="53981FA0"/>
    <w:rsid w:val="53B84C8E"/>
    <w:rsid w:val="53BD274E"/>
    <w:rsid w:val="53D54E37"/>
    <w:rsid w:val="53E65701"/>
    <w:rsid w:val="53F52A77"/>
    <w:rsid w:val="53FD5774"/>
    <w:rsid w:val="5414272D"/>
    <w:rsid w:val="541B3A0C"/>
    <w:rsid w:val="542E6AAF"/>
    <w:rsid w:val="543D68D9"/>
    <w:rsid w:val="54482B1B"/>
    <w:rsid w:val="54594A5E"/>
    <w:rsid w:val="546F7A15"/>
    <w:rsid w:val="54735D85"/>
    <w:rsid w:val="54871B54"/>
    <w:rsid w:val="54874106"/>
    <w:rsid w:val="549605A3"/>
    <w:rsid w:val="549F3EDE"/>
    <w:rsid w:val="54AA3CD9"/>
    <w:rsid w:val="54B76615"/>
    <w:rsid w:val="54C96C83"/>
    <w:rsid w:val="54D31B63"/>
    <w:rsid w:val="54D3249E"/>
    <w:rsid w:val="54EA3219"/>
    <w:rsid w:val="550118A5"/>
    <w:rsid w:val="550F3F04"/>
    <w:rsid w:val="5517071E"/>
    <w:rsid w:val="554860F4"/>
    <w:rsid w:val="555111B5"/>
    <w:rsid w:val="55582F0D"/>
    <w:rsid w:val="555E6BA7"/>
    <w:rsid w:val="556E2ECA"/>
    <w:rsid w:val="557A16A0"/>
    <w:rsid w:val="559719B0"/>
    <w:rsid w:val="559A22C4"/>
    <w:rsid w:val="559B2D2A"/>
    <w:rsid w:val="559C2F3F"/>
    <w:rsid w:val="559F228F"/>
    <w:rsid w:val="55A67EE8"/>
    <w:rsid w:val="55B54251"/>
    <w:rsid w:val="55D00DC0"/>
    <w:rsid w:val="55E8090D"/>
    <w:rsid w:val="55ED318A"/>
    <w:rsid w:val="56060266"/>
    <w:rsid w:val="560C4016"/>
    <w:rsid w:val="561A16CF"/>
    <w:rsid w:val="562A1609"/>
    <w:rsid w:val="563F74A4"/>
    <w:rsid w:val="566B53D2"/>
    <w:rsid w:val="566F4558"/>
    <w:rsid w:val="56715C12"/>
    <w:rsid w:val="567B1141"/>
    <w:rsid w:val="567B56A9"/>
    <w:rsid w:val="5681373E"/>
    <w:rsid w:val="56991451"/>
    <w:rsid w:val="569A3398"/>
    <w:rsid w:val="569D6C7E"/>
    <w:rsid w:val="56A7418C"/>
    <w:rsid w:val="56AD7471"/>
    <w:rsid w:val="56B37495"/>
    <w:rsid w:val="56B5403A"/>
    <w:rsid w:val="56EB3361"/>
    <w:rsid w:val="56F40954"/>
    <w:rsid w:val="56F72F30"/>
    <w:rsid w:val="570D256E"/>
    <w:rsid w:val="571635F3"/>
    <w:rsid w:val="57301450"/>
    <w:rsid w:val="573F6CF7"/>
    <w:rsid w:val="574D339C"/>
    <w:rsid w:val="5753468B"/>
    <w:rsid w:val="575B3101"/>
    <w:rsid w:val="575C2CCB"/>
    <w:rsid w:val="5760479D"/>
    <w:rsid w:val="576D43D6"/>
    <w:rsid w:val="5779650A"/>
    <w:rsid w:val="57827964"/>
    <w:rsid w:val="57907814"/>
    <w:rsid w:val="57A31384"/>
    <w:rsid w:val="57B11185"/>
    <w:rsid w:val="57BA33E6"/>
    <w:rsid w:val="57C451DA"/>
    <w:rsid w:val="57E12441"/>
    <w:rsid w:val="57E52AC8"/>
    <w:rsid w:val="57F25C54"/>
    <w:rsid w:val="58037259"/>
    <w:rsid w:val="580B1E0B"/>
    <w:rsid w:val="58164A86"/>
    <w:rsid w:val="58224F50"/>
    <w:rsid w:val="582E7015"/>
    <w:rsid w:val="584410CC"/>
    <w:rsid w:val="584A5363"/>
    <w:rsid w:val="58547CEB"/>
    <w:rsid w:val="585712B7"/>
    <w:rsid w:val="58603614"/>
    <w:rsid w:val="58615E6E"/>
    <w:rsid w:val="58635793"/>
    <w:rsid w:val="586A36EE"/>
    <w:rsid w:val="58826B95"/>
    <w:rsid w:val="588C11D6"/>
    <w:rsid w:val="58C16B43"/>
    <w:rsid w:val="58D17534"/>
    <w:rsid w:val="58E30231"/>
    <w:rsid w:val="58EF47AD"/>
    <w:rsid w:val="59033141"/>
    <w:rsid w:val="591459A0"/>
    <w:rsid w:val="591E103A"/>
    <w:rsid w:val="592A36F8"/>
    <w:rsid w:val="5930512A"/>
    <w:rsid w:val="594409C9"/>
    <w:rsid w:val="59477195"/>
    <w:rsid w:val="59491402"/>
    <w:rsid w:val="594F0C2A"/>
    <w:rsid w:val="594F459C"/>
    <w:rsid w:val="595C25C6"/>
    <w:rsid w:val="595E1632"/>
    <w:rsid w:val="595F13E9"/>
    <w:rsid w:val="59785D4E"/>
    <w:rsid w:val="597E2527"/>
    <w:rsid w:val="598D7571"/>
    <w:rsid w:val="599D32C2"/>
    <w:rsid w:val="59A84CD5"/>
    <w:rsid w:val="59AB0581"/>
    <w:rsid w:val="59CA0DF6"/>
    <w:rsid w:val="59CD2536"/>
    <w:rsid w:val="59D05539"/>
    <w:rsid w:val="59E12D2E"/>
    <w:rsid w:val="59E52A0A"/>
    <w:rsid w:val="59E56E97"/>
    <w:rsid w:val="59EE0B0E"/>
    <w:rsid w:val="59EF52ED"/>
    <w:rsid w:val="59F378E0"/>
    <w:rsid w:val="5A03208B"/>
    <w:rsid w:val="5A11498E"/>
    <w:rsid w:val="5A1B27B8"/>
    <w:rsid w:val="5A392B8C"/>
    <w:rsid w:val="5A41505E"/>
    <w:rsid w:val="5A5D695E"/>
    <w:rsid w:val="5A60385B"/>
    <w:rsid w:val="5A646B5B"/>
    <w:rsid w:val="5A796238"/>
    <w:rsid w:val="5AC608F3"/>
    <w:rsid w:val="5ACA2411"/>
    <w:rsid w:val="5AE31485"/>
    <w:rsid w:val="5AF626D8"/>
    <w:rsid w:val="5AF62900"/>
    <w:rsid w:val="5AFC40F3"/>
    <w:rsid w:val="5B053218"/>
    <w:rsid w:val="5B0D46E9"/>
    <w:rsid w:val="5B22062D"/>
    <w:rsid w:val="5B241C6D"/>
    <w:rsid w:val="5B2B355B"/>
    <w:rsid w:val="5B3E3090"/>
    <w:rsid w:val="5B413ED9"/>
    <w:rsid w:val="5B666F69"/>
    <w:rsid w:val="5B736DFC"/>
    <w:rsid w:val="5B74248A"/>
    <w:rsid w:val="5B7C3A7D"/>
    <w:rsid w:val="5B8675CA"/>
    <w:rsid w:val="5B8E5661"/>
    <w:rsid w:val="5B8F0C2B"/>
    <w:rsid w:val="5B9671CE"/>
    <w:rsid w:val="5BA652CD"/>
    <w:rsid w:val="5BDA1A02"/>
    <w:rsid w:val="5BDA3815"/>
    <w:rsid w:val="5C0A6081"/>
    <w:rsid w:val="5C100E26"/>
    <w:rsid w:val="5C1C1366"/>
    <w:rsid w:val="5C3106D1"/>
    <w:rsid w:val="5C4C3CC9"/>
    <w:rsid w:val="5C5C59BB"/>
    <w:rsid w:val="5C69536C"/>
    <w:rsid w:val="5C6A1E8C"/>
    <w:rsid w:val="5C6F3AA2"/>
    <w:rsid w:val="5C85298F"/>
    <w:rsid w:val="5C9D43AC"/>
    <w:rsid w:val="5CA565E2"/>
    <w:rsid w:val="5CDC5778"/>
    <w:rsid w:val="5CDC65F4"/>
    <w:rsid w:val="5CE17D28"/>
    <w:rsid w:val="5CE70DB3"/>
    <w:rsid w:val="5CE943C9"/>
    <w:rsid w:val="5CF20C05"/>
    <w:rsid w:val="5CF21D7F"/>
    <w:rsid w:val="5CF617C9"/>
    <w:rsid w:val="5D015FA3"/>
    <w:rsid w:val="5D047EE8"/>
    <w:rsid w:val="5D110C61"/>
    <w:rsid w:val="5D126228"/>
    <w:rsid w:val="5D1949C1"/>
    <w:rsid w:val="5D1B0F43"/>
    <w:rsid w:val="5D1F3C0E"/>
    <w:rsid w:val="5D3734F1"/>
    <w:rsid w:val="5D3A42DC"/>
    <w:rsid w:val="5D423265"/>
    <w:rsid w:val="5D46020C"/>
    <w:rsid w:val="5D4A0C8B"/>
    <w:rsid w:val="5D6C6AD3"/>
    <w:rsid w:val="5DA31640"/>
    <w:rsid w:val="5DCE771F"/>
    <w:rsid w:val="5DD3556C"/>
    <w:rsid w:val="5DD81E67"/>
    <w:rsid w:val="5DE6704B"/>
    <w:rsid w:val="5DEA5E1E"/>
    <w:rsid w:val="5DEC3B70"/>
    <w:rsid w:val="5DF84369"/>
    <w:rsid w:val="5DF92DCB"/>
    <w:rsid w:val="5E091FB5"/>
    <w:rsid w:val="5E0E0B57"/>
    <w:rsid w:val="5E177160"/>
    <w:rsid w:val="5E277D80"/>
    <w:rsid w:val="5E280CB5"/>
    <w:rsid w:val="5E2F1ECF"/>
    <w:rsid w:val="5E4130FC"/>
    <w:rsid w:val="5E447267"/>
    <w:rsid w:val="5E4636DC"/>
    <w:rsid w:val="5E4A572D"/>
    <w:rsid w:val="5E5667A6"/>
    <w:rsid w:val="5E5C2FC2"/>
    <w:rsid w:val="5E676802"/>
    <w:rsid w:val="5E6C1E14"/>
    <w:rsid w:val="5E6C7C78"/>
    <w:rsid w:val="5E72699B"/>
    <w:rsid w:val="5E794082"/>
    <w:rsid w:val="5E815CED"/>
    <w:rsid w:val="5E887A26"/>
    <w:rsid w:val="5E8C28B6"/>
    <w:rsid w:val="5E8E2A3B"/>
    <w:rsid w:val="5E8E48D5"/>
    <w:rsid w:val="5EA35CFD"/>
    <w:rsid w:val="5EAC0CC5"/>
    <w:rsid w:val="5EAF07E9"/>
    <w:rsid w:val="5EB75E1B"/>
    <w:rsid w:val="5EC56393"/>
    <w:rsid w:val="5EF078DD"/>
    <w:rsid w:val="5EF62DCD"/>
    <w:rsid w:val="5EFB0071"/>
    <w:rsid w:val="5EFE34A1"/>
    <w:rsid w:val="5F173FD8"/>
    <w:rsid w:val="5F257412"/>
    <w:rsid w:val="5F3262F4"/>
    <w:rsid w:val="5F375038"/>
    <w:rsid w:val="5F5C27E5"/>
    <w:rsid w:val="5F6938A8"/>
    <w:rsid w:val="5F6E2815"/>
    <w:rsid w:val="5F7C06D8"/>
    <w:rsid w:val="5F9430F2"/>
    <w:rsid w:val="5F9E02EC"/>
    <w:rsid w:val="5FA1081C"/>
    <w:rsid w:val="5FAF6679"/>
    <w:rsid w:val="5FBB5BDB"/>
    <w:rsid w:val="5FD9462B"/>
    <w:rsid w:val="5FDA36A7"/>
    <w:rsid w:val="5FE061B9"/>
    <w:rsid w:val="5FEB5761"/>
    <w:rsid w:val="5FF2552B"/>
    <w:rsid w:val="5FFB6305"/>
    <w:rsid w:val="5FFB6714"/>
    <w:rsid w:val="60011320"/>
    <w:rsid w:val="60267D5D"/>
    <w:rsid w:val="604100BA"/>
    <w:rsid w:val="60550F25"/>
    <w:rsid w:val="6057025C"/>
    <w:rsid w:val="606F133D"/>
    <w:rsid w:val="60795FB2"/>
    <w:rsid w:val="607B07D5"/>
    <w:rsid w:val="60916901"/>
    <w:rsid w:val="60993336"/>
    <w:rsid w:val="609949E1"/>
    <w:rsid w:val="60A27DAC"/>
    <w:rsid w:val="60B91733"/>
    <w:rsid w:val="60C20183"/>
    <w:rsid w:val="60E34759"/>
    <w:rsid w:val="610B115D"/>
    <w:rsid w:val="61120121"/>
    <w:rsid w:val="611F5E40"/>
    <w:rsid w:val="612650A2"/>
    <w:rsid w:val="61275225"/>
    <w:rsid w:val="613971A8"/>
    <w:rsid w:val="613A1351"/>
    <w:rsid w:val="614041D7"/>
    <w:rsid w:val="61552A82"/>
    <w:rsid w:val="616C655B"/>
    <w:rsid w:val="616E381D"/>
    <w:rsid w:val="61702147"/>
    <w:rsid w:val="61A21ED5"/>
    <w:rsid w:val="61AA66DD"/>
    <w:rsid w:val="61BA5EFD"/>
    <w:rsid w:val="61C7660C"/>
    <w:rsid w:val="61D272BB"/>
    <w:rsid w:val="61D55DBE"/>
    <w:rsid w:val="61D81BE2"/>
    <w:rsid w:val="61E47F27"/>
    <w:rsid w:val="61E93AD6"/>
    <w:rsid w:val="61F55CC4"/>
    <w:rsid w:val="61F93243"/>
    <w:rsid w:val="620100B1"/>
    <w:rsid w:val="62190F45"/>
    <w:rsid w:val="62193B80"/>
    <w:rsid w:val="621B4181"/>
    <w:rsid w:val="62216BE1"/>
    <w:rsid w:val="62311BC3"/>
    <w:rsid w:val="62353B47"/>
    <w:rsid w:val="62361100"/>
    <w:rsid w:val="624076D6"/>
    <w:rsid w:val="62511DE0"/>
    <w:rsid w:val="62697D86"/>
    <w:rsid w:val="628C53F9"/>
    <w:rsid w:val="62937829"/>
    <w:rsid w:val="62977285"/>
    <w:rsid w:val="62A20B07"/>
    <w:rsid w:val="62A414E0"/>
    <w:rsid w:val="62BA5904"/>
    <w:rsid w:val="62CC77CB"/>
    <w:rsid w:val="62CD6A55"/>
    <w:rsid w:val="62D51842"/>
    <w:rsid w:val="62F3784F"/>
    <w:rsid w:val="62F41404"/>
    <w:rsid w:val="62FF3FB5"/>
    <w:rsid w:val="63021DE2"/>
    <w:rsid w:val="63082288"/>
    <w:rsid w:val="63112339"/>
    <w:rsid w:val="631E4EB5"/>
    <w:rsid w:val="632C21E9"/>
    <w:rsid w:val="632C2662"/>
    <w:rsid w:val="633013E8"/>
    <w:rsid w:val="633758BB"/>
    <w:rsid w:val="63385D89"/>
    <w:rsid w:val="633A0F04"/>
    <w:rsid w:val="633F1EE3"/>
    <w:rsid w:val="6340127C"/>
    <w:rsid w:val="63402FDE"/>
    <w:rsid w:val="63654FE0"/>
    <w:rsid w:val="63835B20"/>
    <w:rsid w:val="63985508"/>
    <w:rsid w:val="63AA5332"/>
    <w:rsid w:val="63C61233"/>
    <w:rsid w:val="63D33DB7"/>
    <w:rsid w:val="63FF6AFB"/>
    <w:rsid w:val="640754EE"/>
    <w:rsid w:val="64142736"/>
    <w:rsid w:val="642A2A58"/>
    <w:rsid w:val="642A353F"/>
    <w:rsid w:val="64391A57"/>
    <w:rsid w:val="64456123"/>
    <w:rsid w:val="64585109"/>
    <w:rsid w:val="645F7031"/>
    <w:rsid w:val="64663CD8"/>
    <w:rsid w:val="64881679"/>
    <w:rsid w:val="649F7EFD"/>
    <w:rsid w:val="64A67ACD"/>
    <w:rsid w:val="64A84422"/>
    <w:rsid w:val="64B23DB4"/>
    <w:rsid w:val="64B25F3E"/>
    <w:rsid w:val="64B55A95"/>
    <w:rsid w:val="64B64B66"/>
    <w:rsid w:val="64B86E2A"/>
    <w:rsid w:val="64C12A40"/>
    <w:rsid w:val="64C15487"/>
    <w:rsid w:val="64C51685"/>
    <w:rsid w:val="64C82CB3"/>
    <w:rsid w:val="64DD1B37"/>
    <w:rsid w:val="65137300"/>
    <w:rsid w:val="6526740F"/>
    <w:rsid w:val="653B3110"/>
    <w:rsid w:val="653D16E0"/>
    <w:rsid w:val="6556674F"/>
    <w:rsid w:val="655F2B6C"/>
    <w:rsid w:val="65862CD9"/>
    <w:rsid w:val="6588686F"/>
    <w:rsid w:val="659E46D8"/>
    <w:rsid w:val="65A57048"/>
    <w:rsid w:val="65B50E5A"/>
    <w:rsid w:val="65C1054A"/>
    <w:rsid w:val="65C3067B"/>
    <w:rsid w:val="65D40A3C"/>
    <w:rsid w:val="65D54781"/>
    <w:rsid w:val="65D7500D"/>
    <w:rsid w:val="65DB784E"/>
    <w:rsid w:val="65DF45BB"/>
    <w:rsid w:val="660867AF"/>
    <w:rsid w:val="662D27C6"/>
    <w:rsid w:val="66452970"/>
    <w:rsid w:val="66452FE9"/>
    <w:rsid w:val="6679092A"/>
    <w:rsid w:val="668D7DF1"/>
    <w:rsid w:val="66964197"/>
    <w:rsid w:val="66AB7EE5"/>
    <w:rsid w:val="66AD415D"/>
    <w:rsid w:val="66C73D9C"/>
    <w:rsid w:val="66D04B5E"/>
    <w:rsid w:val="66D60DB1"/>
    <w:rsid w:val="66E561D8"/>
    <w:rsid w:val="66EA3DD6"/>
    <w:rsid w:val="66F00AF0"/>
    <w:rsid w:val="6700750E"/>
    <w:rsid w:val="671D6BF1"/>
    <w:rsid w:val="67283806"/>
    <w:rsid w:val="67580868"/>
    <w:rsid w:val="67610EFA"/>
    <w:rsid w:val="6773071F"/>
    <w:rsid w:val="67805A9B"/>
    <w:rsid w:val="678D5B85"/>
    <w:rsid w:val="67904419"/>
    <w:rsid w:val="67995A29"/>
    <w:rsid w:val="67A00193"/>
    <w:rsid w:val="67AE06E9"/>
    <w:rsid w:val="67B563BE"/>
    <w:rsid w:val="67DB2545"/>
    <w:rsid w:val="67DC482A"/>
    <w:rsid w:val="67E55620"/>
    <w:rsid w:val="67EA5494"/>
    <w:rsid w:val="67EB5FE1"/>
    <w:rsid w:val="67ED1ADF"/>
    <w:rsid w:val="67FC2BE7"/>
    <w:rsid w:val="68080C09"/>
    <w:rsid w:val="68091997"/>
    <w:rsid w:val="680D19BB"/>
    <w:rsid w:val="680F7916"/>
    <w:rsid w:val="6815717B"/>
    <w:rsid w:val="681A46E7"/>
    <w:rsid w:val="681B7F08"/>
    <w:rsid w:val="68221A8C"/>
    <w:rsid w:val="68347A35"/>
    <w:rsid w:val="684D6D87"/>
    <w:rsid w:val="684F6446"/>
    <w:rsid w:val="685036D0"/>
    <w:rsid w:val="68525B9B"/>
    <w:rsid w:val="688432AD"/>
    <w:rsid w:val="6886446B"/>
    <w:rsid w:val="6886482A"/>
    <w:rsid w:val="688C12CD"/>
    <w:rsid w:val="688E57BC"/>
    <w:rsid w:val="68904BFB"/>
    <w:rsid w:val="68A0499E"/>
    <w:rsid w:val="68A36E99"/>
    <w:rsid w:val="68AE3670"/>
    <w:rsid w:val="68C332BA"/>
    <w:rsid w:val="68C66F87"/>
    <w:rsid w:val="68C708F2"/>
    <w:rsid w:val="68CB582D"/>
    <w:rsid w:val="68D56251"/>
    <w:rsid w:val="68E872D1"/>
    <w:rsid w:val="68EF5946"/>
    <w:rsid w:val="68F23CD8"/>
    <w:rsid w:val="68F25DFA"/>
    <w:rsid w:val="68FF3746"/>
    <w:rsid w:val="68FF6567"/>
    <w:rsid w:val="6902390E"/>
    <w:rsid w:val="692D78ED"/>
    <w:rsid w:val="693118AD"/>
    <w:rsid w:val="695004B5"/>
    <w:rsid w:val="69603C4B"/>
    <w:rsid w:val="69614422"/>
    <w:rsid w:val="6966049F"/>
    <w:rsid w:val="69683F1C"/>
    <w:rsid w:val="69734633"/>
    <w:rsid w:val="6986197E"/>
    <w:rsid w:val="69871BB8"/>
    <w:rsid w:val="698F5FE8"/>
    <w:rsid w:val="69930E11"/>
    <w:rsid w:val="699C0EF8"/>
    <w:rsid w:val="69A23095"/>
    <w:rsid w:val="69AB5DBB"/>
    <w:rsid w:val="69B06EFE"/>
    <w:rsid w:val="69B840F1"/>
    <w:rsid w:val="69C066B5"/>
    <w:rsid w:val="69C91948"/>
    <w:rsid w:val="69D90254"/>
    <w:rsid w:val="69DC32D7"/>
    <w:rsid w:val="69E72B7A"/>
    <w:rsid w:val="69F2176C"/>
    <w:rsid w:val="69F22996"/>
    <w:rsid w:val="69FD45AC"/>
    <w:rsid w:val="6A093AF9"/>
    <w:rsid w:val="6A0C6539"/>
    <w:rsid w:val="6A2314C2"/>
    <w:rsid w:val="6A265B73"/>
    <w:rsid w:val="6A2826A1"/>
    <w:rsid w:val="6A424D6D"/>
    <w:rsid w:val="6A551347"/>
    <w:rsid w:val="6A5660EE"/>
    <w:rsid w:val="6A5D1911"/>
    <w:rsid w:val="6A7E1AA3"/>
    <w:rsid w:val="6A9635F7"/>
    <w:rsid w:val="6A9F3407"/>
    <w:rsid w:val="6AA45AEE"/>
    <w:rsid w:val="6AAA05A9"/>
    <w:rsid w:val="6AE02BB5"/>
    <w:rsid w:val="6AE60B4C"/>
    <w:rsid w:val="6B0625D1"/>
    <w:rsid w:val="6B0E0011"/>
    <w:rsid w:val="6B113D9E"/>
    <w:rsid w:val="6B3529D0"/>
    <w:rsid w:val="6B357BE5"/>
    <w:rsid w:val="6B3611E8"/>
    <w:rsid w:val="6B3C6A10"/>
    <w:rsid w:val="6B3D3D48"/>
    <w:rsid w:val="6B5B3158"/>
    <w:rsid w:val="6B5D6E33"/>
    <w:rsid w:val="6B6B1AAA"/>
    <w:rsid w:val="6B726A7C"/>
    <w:rsid w:val="6B8833D8"/>
    <w:rsid w:val="6B8902B7"/>
    <w:rsid w:val="6B960293"/>
    <w:rsid w:val="6B9878C4"/>
    <w:rsid w:val="6BA832B8"/>
    <w:rsid w:val="6BB54A7D"/>
    <w:rsid w:val="6BBA4198"/>
    <w:rsid w:val="6BBA5C26"/>
    <w:rsid w:val="6BC644EC"/>
    <w:rsid w:val="6BDB04B6"/>
    <w:rsid w:val="6BE963BE"/>
    <w:rsid w:val="6C0F365E"/>
    <w:rsid w:val="6C0F611F"/>
    <w:rsid w:val="6C2E2CA9"/>
    <w:rsid w:val="6C33536D"/>
    <w:rsid w:val="6C3E3641"/>
    <w:rsid w:val="6C496677"/>
    <w:rsid w:val="6C517C19"/>
    <w:rsid w:val="6C547454"/>
    <w:rsid w:val="6C5648D5"/>
    <w:rsid w:val="6C650278"/>
    <w:rsid w:val="6C740601"/>
    <w:rsid w:val="6C7F6C59"/>
    <w:rsid w:val="6C842DAB"/>
    <w:rsid w:val="6C8A5474"/>
    <w:rsid w:val="6CC9029C"/>
    <w:rsid w:val="6CC91B21"/>
    <w:rsid w:val="6CD85C69"/>
    <w:rsid w:val="6CDD1D7B"/>
    <w:rsid w:val="6CF22917"/>
    <w:rsid w:val="6CF95B3A"/>
    <w:rsid w:val="6CFA4338"/>
    <w:rsid w:val="6D176994"/>
    <w:rsid w:val="6D233DD2"/>
    <w:rsid w:val="6D44019E"/>
    <w:rsid w:val="6D464DCC"/>
    <w:rsid w:val="6D616216"/>
    <w:rsid w:val="6D861CBD"/>
    <w:rsid w:val="6D8D1511"/>
    <w:rsid w:val="6D932C97"/>
    <w:rsid w:val="6D9868E0"/>
    <w:rsid w:val="6DA225C5"/>
    <w:rsid w:val="6DB630F7"/>
    <w:rsid w:val="6DBF57D4"/>
    <w:rsid w:val="6DC27A0E"/>
    <w:rsid w:val="6DDD44A9"/>
    <w:rsid w:val="6DF90DFC"/>
    <w:rsid w:val="6E04099A"/>
    <w:rsid w:val="6E097C58"/>
    <w:rsid w:val="6E0A3A02"/>
    <w:rsid w:val="6E0E61FC"/>
    <w:rsid w:val="6E10454B"/>
    <w:rsid w:val="6E3101C1"/>
    <w:rsid w:val="6E451A64"/>
    <w:rsid w:val="6E67698D"/>
    <w:rsid w:val="6E6839F7"/>
    <w:rsid w:val="6E733F82"/>
    <w:rsid w:val="6E7C3832"/>
    <w:rsid w:val="6E874489"/>
    <w:rsid w:val="6E960A52"/>
    <w:rsid w:val="6EA0744D"/>
    <w:rsid w:val="6EA3291D"/>
    <w:rsid w:val="6EA67504"/>
    <w:rsid w:val="6EA70317"/>
    <w:rsid w:val="6ED133CF"/>
    <w:rsid w:val="6EDD75A0"/>
    <w:rsid w:val="6EE73EE7"/>
    <w:rsid w:val="6F0D2298"/>
    <w:rsid w:val="6F145E1F"/>
    <w:rsid w:val="6F164ADC"/>
    <w:rsid w:val="6F276C23"/>
    <w:rsid w:val="6F37324B"/>
    <w:rsid w:val="6F4B77AB"/>
    <w:rsid w:val="6F59783E"/>
    <w:rsid w:val="6F5A407F"/>
    <w:rsid w:val="6F9045BD"/>
    <w:rsid w:val="6F9670B5"/>
    <w:rsid w:val="6F991282"/>
    <w:rsid w:val="6F9A4BFC"/>
    <w:rsid w:val="6FAD4095"/>
    <w:rsid w:val="6FB963FA"/>
    <w:rsid w:val="6FC808E6"/>
    <w:rsid w:val="6FCF7480"/>
    <w:rsid w:val="6FD071A2"/>
    <w:rsid w:val="6FD57D31"/>
    <w:rsid w:val="6FD969D9"/>
    <w:rsid w:val="6FDF42CC"/>
    <w:rsid w:val="6FF23142"/>
    <w:rsid w:val="700A32D4"/>
    <w:rsid w:val="7011160C"/>
    <w:rsid w:val="70143D7F"/>
    <w:rsid w:val="701A1F84"/>
    <w:rsid w:val="70394E16"/>
    <w:rsid w:val="703B2856"/>
    <w:rsid w:val="70512274"/>
    <w:rsid w:val="707136A0"/>
    <w:rsid w:val="7071512F"/>
    <w:rsid w:val="70836044"/>
    <w:rsid w:val="708E3F08"/>
    <w:rsid w:val="70945DFE"/>
    <w:rsid w:val="70963635"/>
    <w:rsid w:val="709E757C"/>
    <w:rsid w:val="70A4031D"/>
    <w:rsid w:val="70A81FF7"/>
    <w:rsid w:val="70AB6982"/>
    <w:rsid w:val="70B74010"/>
    <w:rsid w:val="70B960E4"/>
    <w:rsid w:val="70BD0161"/>
    <w:rsid w:val="70CE2945"/>
    <w:rsid w:val="70DD4262"/>
    <w:rsid w:val="70E03E42"/>
    <w:rsid w:val="710003A8"/>
    <w:rsid w:val="710376A0"/>
    <w:rsid w:val="71055269"/>
    <w:rsid w:val="710F0BB8"/>
    <w:rsid w:val="711654FA"/>
    <w:rsid w:val="71194261"/>
    <w:rsid w:val="711C5BB5"/>
    <w:rsid w:val="71375D39"/>
    <w:rsid w:val="713839ED"/>
    <w:rsid w:val="7144689C"/>
    <w:rsid w:val="714872A8"/>
    <w:rsid w:val="714E4437"/>
    <w:rsid w:val="715971DA"/>
    <w:rsid w:val="717E5F2F"/>
    <w:rsid w:val="71885178"/>
    <w:rsid w:val="718B15C7"/>
    <w:rsid w:val="719C0345"/>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4C75EB"/>
    <w:rsid w:val="72522107"/>
    <w:rsid w:val="7258227F"/>
    <w:rsid w:val="726542C5"/>
    <w:rsid w:val="72713F85"/>
    <w:rsid w:val="72725AF0"/>
    <w:rsid w:val="72791350"/>
    <w:rsid w:val="727E25B6"/>
    <w:rsid w:val="72931EAF"/>
    <w:rsid w:val="72963B15"/>
    <w:rsid w:val="729B43C7"/>
    <w:rsid w:val="729B556A"/>
    <w:rsid w:val="72A264DB"/>
    <w:rsid w:val="72AA2B66"/>
    <w:rsid w:val="72BD48D1"/>
    <w:rsid w:val="72C65D78"/>
    <w:rsid w:val="72CC26C6"/>
    <w:rsid w:val="72D7336E"/>
    <w:rsid w:val="72E12618"/>
    <w:rsid w:val="72F21234"/>
    <w:rsid w:val="72FD0906"/>
    <w:rsid w:val="7313580C"/>
    <w:rsid w:val="731D5BEB"/>
    <w:rsid w:val="73296739"/>
    <w:rsid w:val="73300890"/>
    <w:rsid w:val="7339443F"/>
    <w:rsid w:val="7344461F"/>
    <w:rsid w:val="73560691"/>
    <w:rsid w:val="7358659E"/>
    <w:rsid w:val="73795D74"/>
    <w:rsid w:val="739509FA"/>
    <w:rsid w:val="73A80755"/>
    <w:rsid w:val="73C4164C"/>
    <w:rsid w:val="73CC653A"/>
    <w:rsid w:val="73D159A1"/>
    <w:rsid w:val="73D217D6"/>
    <w:rsid w:val="73DD0AC3"/>
    <w:rsid w:val="73E00FC2"/>
    <w:rsid w:val="73E96F00"/>
    <w:rsid w:val="73F35C20"/>
    <w:rsid w:val="73F8462A"/>
    <w:rsid w:val="74036C0D"/>
    <w:rsid w:val="74037621"/>
    <w:rsid w:val="740C66E7"/>
    <w:rsid w:val="741C3B3B"/>
    <w:rsid w:val="741D2D43"/>
    <w:rsid w:val="745B0796"/>
    <w:rsid w:val="745F4062"/>
    <w:rsid w:val="74633A98"/>
    <w:rsid w:val="746F28A8"/>
    <w:rsid w:val="74DF558B"/>
    <w:rsid w:val="74EE1D1B"/>
    <w:rsid w:val="74F10289"/>
    <w:rsid w:val="74F34F85"/>
    <w:rsid w:val="74F826B3"/>
    <w:rsid w:val="75014572"/>
    <w:rsid w:val="75067D82"/>
    <w:rsid w:val="750B7E6D"/>
    <w:rsid w:val="75101474"/>
    <w:rsid w:val="75152359"/>
    <w:rsid w:val="752955C7"/>
    <w:rsid w:val="753251A1"/>
    <w:rsid w:val="75473AB6"/>
    <w:rsid w:val="755A639D"/>
    <w:rsid w:val="75612341"/>
    <w:rsid w:val="75651105"/>
    <w:rsid w:val="756B34A4"/>
    <w:rsid w:val="757E7386"/>
    <w:rsid w:val="75882465"/>
    <w:rsid w:val="7589081E"/>
    <w:rsid w:val="75913AD5"/>
    <w:rsid w:val="75966D08"/>
    <w:rsid w:val="75AB03F6"/>
    <w:rsid w:val="75C04D35"/>
    <w:rsid w:val="75CA48E7"/>
    <w:rsid w:val="75CE07FB"/>
    <w:rsid w:val="75D15E60"/>
    <w:rsid w:val="75E027FD"/>
    <w:rsid w:val="75E21B92"/>
    <w:rsid w:val="75E85E32"/>
    <w:rsid w:val="76351D9E"/>
    <w:rsid w:val="763E077B"/>
    <w:rsid w:val="7640418E"/>
    <w:rsid w:val="76511A24"/>
    <w:rsid w:val="765629A7"/>
    <w:rsid w:val="765728BC"/>
    <w:rsid w:val="76617A2A"/>
    <w:rsid w:val="76752691"/>
    <w:rsid w:val="76924971"/>
    <w:rsid w:val="76933E2E"/>
    <w:rsid w:val="76960A4B"/>
    <w:rsid w:val="76964351"/>
    <w:rsid w:val="76A27B4C"/>
    <w:rsid w:val="76B918A6"/>
    <w:rsid w:val="76BC587C"/>
    <w:rsid w:val="76BF7808"/>
    <w:rsid w:val="76C00AFC"/>
    <w:rsid w:val="76C07136"/>
    <w:rsid w:val="76DD09AF"/>
    <w:rsid w:val="76ED1347"/>
    <w:rsid w:val="76F433E8"/>
    <w:rsid w:val="77176F12"/>
    <w:rsid w:val="771946D8"/>
    <w:rsid w:val="772268FD"/>
    <w:rsid w:val="773D5274"/>
    <w:rsid w:val="77402C4B"/>
    <w:rsid w:val="77474684"/>
    <w:rsid w:val="774B39B8"/>
    <w:rsid w:val="775666E2"/>
    <w:rsid w:val="77653ACC"/>
    <w:rsid w:val="776A41AC"/>
    <w:rsid w:val="77747DD3"/>
    <w:rsid w:val="778E3E67"/>
    <w:rsid w:val="77A82770"/>
    <w:rsid w:val="77BD4BE4"/>
    <w:rsid w:val="77BD7E72"/>
    <w:rsid w:val="77C9487D"/>
    <w:rsid w:val="77D0299F"/>
    <w:rsid w:val="77ED0386"/>
    <w:rsid w:val="77F72469"/>
    <w:rsid w:val="77F854D4"/>
    <w:rsid w:val="77F94BE3"/>
    <w:rsid w:val="78003B18"/>
    <w:rsid w:val="78065036"/>
    <w:rsid w:val="780D5CB6"/>
    <w:rsid w:val="78155E57"/>
    <w:rsid w:val="78366B8C"/>
    <w:rsid w:val="783B287A"/>
    <w:rsid w:val="78482C69"/>
    <w:rsid w:val="785E7689"/>
    <w:rsid w:val="786A7B13"/>
    <w:rsid w:val="787C388D"/>
    <w:rsid w:val="788249B9"/>
    <w:rsid w:val="78886D15"/>
    <w:rsid w:val="78AD7D8E"/>
    <w:rsid w:val="78B2035E"/>
    <w:rsid w:val="78B43B82"/>
    <w:rsid w:val="78B57D9C"/>
    <w:rsid w:val="78BB76EA"/>
    <w:rsid w:val="78E26C73"/>
    <w:rsid w:val="78E76B0F"/>
    <w:rsid w:val="78F65C61"/>
    <w:rsid w:val="78F9125E"/>
    <w:rsid w:val="78FB1BD1"/>
    <w:rsid w:val="79186D4E"/>
    <w:rsid w:val="791A5E37"/>
    <w:rsid w:val="79213328"/>
    <w:rsid w:val="79213DE2"/>
    <w:rsid w:val="793809FB"/>
    <w:rsid w:val="7964511F"/>
    <w:rsid w:val="79824E81"/>
    <w:rsid w:val="79956A1C"/>
    <w:rsid w:val="799B2468"/>
    <w:rsid w:val="799E7491"/>
    <w:rsid w:val="799F3F47"/>
    <w:rsid w:val="79A72484"/>
    <w:rsid w:val="79A82466"/>
    <w:rsid w:val="79BA471D"/>
    <w:rsid w:val="79C47FC2"/>
    <w:rsid w:val="79C51FED"/>
    <w:rsid w:val="79D417BE"/>
    <w:rsid w:val="79DF005F"/>
    <w:rsid w:val="79E028EC"/>
    <w:rsid w:val="79F47009"/>
    <w:rsid w:val="7A114E8A"/>
    <w:rsid w:val="7A1C5B1C"/>
    <w:rsid w:val="7A233119"/>
    <w:rsid w:val="7A2D6C9D"/>
    <w:rsid w:val="7A4653BA"/>
    <w:rsid w:val="7A4B4C2F"/>
    <w:rsid w:val="7A707B63"/>
    <w:rsid w:val="7A765EEC"/>
    <w:rsid w:val="7A773B5D"/>
    <w:rsid w:val="7A790CA9"/>
    <w:rsid w:val="7A7E0984"/>
    <w:rsid w:val="7AA36941"/>
    <w:rsid w:val="7AB0523D"/>
    <w:rsid w:val="7AB83F1D"/>
    <w:rsid w:val="7ACC04C2"/>
    <w:rsid w:val="7AD234FC"/>
    <w:rsid w:val="7AD86C9B"/>
    <w:rsid w:val="7ADD6AF4"/>
    <w:rsid w:val="7AE2061C"/>
    <w:rsid w:val="7AE960CA"/>
    <w:rsid w:val="7AED7596"/>
    <w:rsid w:val="7AF937F5"/>
    <w:rsid w:val="7B002131"/>
    <w:rsid w:val="7B063546"/>
    <w:rsid w:val="7B0864F6"/>
    <w:rsid w:val="7B134040"/>
    <w:rsid w:val="7B1B16D3"/>
    <w:rsid w:val="7B2E6780"/>
    <w:rsid w:val="7B506EC2"/>
    <w:rsid w:val="7B5D217A"/>
    <w:rsid w:val="7B614801"/>
    <w:rsid w:val="7B6158E6"/>
    <w:rsid w:val="7B684A54"/>
    <w:rsid w:val="7B913B86"/>
    <w:rsid w:val="7B97422A"/>
    <w:rsid w:val="7BA969F0"/>
    <w:rsid w:val="7BB31B68"/>
    <w:rsid w:val="7BCB31C0"/>
    <w:rsid w:val="7BDC6155"/>
    <w:rsid w:val="7BED600D"/>
    <w:rsid w:val="7BEF4BDC"/>
    <w:rsid w:val="7C035604"/>
    <w:rsid w:val="7C071C5F"/>
    <w:rsid w:val="7C1311BA"/>
    <w:rsid w:val="7C194469"/>
    <w:rsid w:val="7C1A6CD5"/>
    <w:rsid w:val="7C2630F4"/>
    <w:rsid w:val="7C326149"/>
    <w:rsid w:val="7C3A066B"/>
    <w:rsid w:val="7C45471C"/>
    <w:rsid w:val="7C7001B6"/>
    <w:rsid w:val="7C7E27D3"/>
    <w:rsid w:val="7C7F3629"/>
    <w:rsid w:val="7C8B7A6D"/>
    <w:rsid w:val="7C90110D"/>
    <w:rsid w:val="7C901429"/>
    <w:rsid w:val="7C935E25"/>
    <w:rsid w:val="7C9B6AF6"/>
    <w:rsid w:val="7CA34622"/>
    <w:rsid w:val="7CA726F6"/>
    <w:rsid w:val="7CB3364E"/>
    <w:rsid w:val="7CC74A77"/>
    <w:rsid w:val="7CC90590"/>
    <w:rsid w:val="7CEF41D5"/>
    <w:rsid w:val="7D2F6FF7"/>
    <w:rsid w:val="7D303FCF"/>
    <w:rsid w:val="7D332F6D"/>
    <w:rsid w:val="7D3446E3"/>
    <w:rsid w:val="7D3A1A33"/>
    <w:rsid w:val="7D3D587B"/>
    <w:rsid w:val="7D4435DF"/>
    <w:rsid w:val="7D4B267A"/>
    <w:rsid w:val="7D517A82"/>
    <w:rsid w:val="7D5C75F5"/>
    <w:rsid w:val="7D694213"/>
    <w:rsid w:val="7D6B16D3"/>
    <w:rsid w:val="7D6E6D2F"/>
    <w:rsid w:val="7D7C5C83"/>
    <w:rsid w:val="7DA523FD"/>
    <w:rsid w:val="7DB838C8"/>
    <w:rsid w:val="7DC23C3E"/>
    <w:rsid w:val="7DCA5633"/>
    <w:rsid w:val="7DE170A5"/>
    <w:rsid w:val="7DF115AC"/>
    <w:rsid w:val="7DF46E1B"/>
    <w:rsid w:val="7E0464CE"/>
    <w:rsid w:val="7E1350EF"/>
    <w:rsid w:val="7E1F6022"/>
    <w:rsid w:val="7E202324"/>
    <w:rsid w:val="7E25554F"/>
    <w:rsid w:val="7E2C2660"/>
    <w:rsid w:val="7E421CCD"/>
    <w:rsid w:val="7E476D34"/>
    <w:rsid w:val="7E555A2D"/>
    <w:rsid w:val="7E65038E"/>
    <w:rsid w:val="7E69075A"/>
    <w:rsid w:val="7E6D6DAE"/>
    <w:rsid w:val="7E6F3FB2"/>
    <w:rsid w:val="7E957586"/>
    <w:rsid w:val="7E9B11AA"/>
    <w:rsid w:val="7E9E1DEB"/>
    <w:rsid w:val="7EA32AD0"/>
    <w:rsid w:val="7EAC79DF"/>
    <w:rsid w:val="7ECD4344"/>
    <w:rsid w:val="7ED55007"/>
    <w:rsid w:val="7ED8145C"/>
    <w:rsid w:val="7ED953E3"/>
    <w:rsid w:val="7EF765D0"/>
    <w:rsid w:val="7EF87C96"/>
    <w:rsid w:val="7F086927"/>
    <w:rsid w:val="7F0A3362"/>
    <w:rsid w:val="7F215D8A"/>
    <w:rsid w:val="7F262B48"/>
    <w:rsid w:val="7F301B1E"/>
    <w:rsid w:val="7F375D0A"/>
    <w:rsid w:val="7F500CBA"/>
    <w:rsid w:val="7F587DE1"/>
    <w:rsid w:val="7F59726B"/>
    <w:rsid w:val="7F61016D"/>
    <w:rsid w:val="7F635A42"/>
    <w:rsid w:val="7F6D28E2"/>
    <w:rsid w:val="7F806B0A"/>
    <w:rsid w:val="7F820D78"/>
    <w:rsid w:val="7F935AA2"/>
    <w:rsid w:val="7FA379C4"/>
    <w:rsid w:val="7FA51E6D"/>
    <w:rsid w:val="7FB549BA"/>
    <w:rsid w:val="7FC76DE8"/>
    <w:rsid w:val="7FD10373"/>
    <w:rsid w:val="7FFD21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emf"/><Relationship Id="rId25" Type="http://schemas.openxmlformats.org/officeDocument/2006/relationships/oleObject" Target="embeddings/oleObject5.bin"/><Relationship Id="rId24" Type="http://schemas.openxmlformats.org/officeDocument/2006/relationships/image" Target="media/image10.emf"/><Relationship Id="rId23" Type="http://schemas.openxmlformats.org/officeDocument/2006/relationships/oleObject" Target="embeddings/Microsoft_Visio_2003-2010___5.vsd"/><Relationship Id="rId22" Type="http://schemas.openxmlformats.org/officeDocument/2006/relationships/image" Target="media/image9.emf"/><Relationship Id="rId21" Type="http://schemas.openxmlformats.org/officeDocument/2006/relationships/oleObject" Target="embeddings/Microsoft_Visio_2003-2010___4.vsd"/><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Microsoft_Visio_2003-2010___3.vsd"/><Relationship Id="rId18" Type="http://schemas.openxmlformats.org/officeDocument/2006/relationships/image" Target="media/image7.wmf"/><Relationship Id="rId17" Type="http://schemas.openxmlformats.org/officeDocument/2006/relationships/oleObject" Target="embeddings/oleObject4.bin"/><Relationship Id="rId16" Type="http://schemas.openxmlformats.org/officeDocument/2006/relationships/image" Target="media/image6.wmf"/><Relationship Id="rId15" Type="http://schemas.openxmlformats.org/officeDocument/2006/relationships/oleObject" Target="embeddings/oleObject3.bin"/><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EE7D8-9733-4DE4-9330-AE2C6A67FA5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16</Pages>
  <Words>5980</Words>
  <Characters>34091</Characters>
  <Lines>284</Lines>
  <Paragraphs>79</Paragraphs>
  <TotalTime>32</TotalTime>
  <ScaleCrop>false</ScaleCrop>
  <LinksUpToDate>false</LinksUpToDate>
  <CharactersWithSpaces>39992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2024-05-10T03:24:00Z</dcterms:created>
  <dc:creator>ZTE</dc:creator>
  <cp:lastModifiedBy>ZTE</cp:lastModifiedBy>
  <dcterms:modified xsi:type="dcterms:W3CDTF">2024-05-10T09:13:36Z</dcterms:modified>
  <dc:title>3GPP TSG-RAN WG1</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7751E6BC0AF14CB0AFFAB24AC0DE2E16</vt:lpwstr>
  </property>
</Properties>
</file>